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Ширинкин</w:t>
      </w:r>
      <w:r>
        <w:t xml:space="preserve"> </w:t>
      </w:r>
      <w:r>
        <w:t xml:space="preserve">Т.</w:t>
      </w:r>
      <w:r>
        <w:t xml:space="preserve"> </w:t>
      </w:r>
      <w:r>
        <w:t xml:space="preserve">Б.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процедуру компиляции и сборки программ на ассемблере.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и заходим в каталог для работы с программами на языке ассемблера NASM, после чего создаём файл hello.asm (Рис.</w:t>
      </w:r>
      <w:r>
        <w:t xml:space="preserve"> </w:t>
      </w:r>
      <w:r>
        <w:t xml:space="preserve">[-@fig:000]</w:t>
      </w:r>
      <w:r>
        <w:t xml:space="preserve">)</w:t>
      </w:r>
    </w:p>
    <w:p>
      <w:pPr>
        <w:pStyle w:val="CaptionedFigure"/>
      </w:pPr>
      <w:r>
        <w:drawing>
          <wp:inline>
            <wp:extent cx="3733800" cy="402445"/>
            <wp:effectExtent b="0" l="0" r="0" t="0"/>
            <wp:docPr descr="Рис. 0 Создаём каталог" title="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0 Создаём каталог</w:t>
      </w:r>
    </w:p>
    <w:p>
      <w:pPr>
        <w:pStyle w:val="BodyText"/>
      </w:pPr>
      <w:r>
        <w:t xml:space="preserve">Открываем файл в редакторе vi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141565"/>
            <wp:effectExtent b="0" l="0" r="0" t="0"/>
            <wp:docPr descr="Рис. 1 Открываем файл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Открываем файл</w:t>
      </w:r>
    </w:p>
    <w:p>
      <w:pPr>
        <w:pStyle w:val="BodyText"/>
      </w:pPr>
      <w:r>
        <w:t xml:space="preserve">Вводим код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4154107"/>
            <wp:effectExtent b="0" l="0" r="0" t="0"/>
            <wp:docPr descr="Рис. 2 Вводим код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Вводим код</w:t>
      </w:r>
    </w:p>
    <w:p>
      <w:pPr>
        <w:pStyle w:val="BodyText"/>
      </w:pPr>
      <w:r>
        <w:t xml:space="preserve">Превращаем вписанный код в .o файл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121096"/>
            <wp:effectExtent b="0" l="0" r="0" t="0"/>
            <wp:docPr descr="Рис. 3 Превращаем вписанный код в .o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Превращаем вписанный код в .o файл</w:t>
      </w:r>
    </w:p>
    <w:p>
      <w:pPr>
        <w:pStyle w:val="BodyText"/>
      </w:pPr>
      <w:r>
        <w:t xml:space="preserve">Проверяем трансмутацию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359442"/>
            <wp:effectExtent b="0" l="0" r="0" t="0"/>
            <wp:docPr descr="Рис. 4 Проверяем трансмутацию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Проверяем трансмутацию</w:t>
      </w:r>
    </w:p>
    <w:p>
      <w:pPr>
        <w:pStyle w:val="BodyText"/>
      </w:pPr>
      <w:r>
        <w:t xml:space="preserve">Вводим команду для расширенной компилляции кода и смотрим корректность компилляции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261511"/>
            <wp:effectExtent b="0" l="0" r="0" t="0"/>
            <wp:docPr descr="Рис. 5 Вводим команду для расширенной компилляции кода и смотрим корректность компилляци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Вводим команду для расширенной компилляции кода и смотрим корректность компилляции</w:t>
      </w:r>
    </w:p>
    <w:p>
      <w:pPr>
        <w:pStyle w:val="BodyText"/>
      </w:pPr>
      <w:r>
        <w:t xml:space="preserve">Компонуем hello.o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312961"/>
            <wp:effectExtent b="0" l="0" r="0" t="0"/>
            <wp:docPr descr="Рис. 6 Компонуем hello.o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Компонуем hello.o</w:t>
      </w:r>
    </w:p>
    <w:p>
      <w:pPr>
        <w:pStyle w:val="BodyText"/>
      </w:pPr>
      <w:r>
        <w:t xml:space="preserve">И obj.o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326650"/>
            <wp:effectExtent b="0" l="0" r="0" t="0"/>
            <wp:docPr descr="Рис. 7 Компонуем obj.o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Компонуем obj.o</w:t>
      </w:r>
    </w:p>
    <w:p>
      <w:pPr>
        <w:pStyle w:val="BodyText"/>
      </w:pPr>
      <w:r>
        <w:t xml:space="preserve">Запускаем программу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317632"/>
            <wp:effectExtent b="0" l="0" r="0" t="0"/>
            <wp:docPr descr="Рис. 8 Запускаем программу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Запускаем программу</w:t>
      </w:r>
    </w:p>
    <w:p>
      <w:pPr>
        <w:pStyle w:val="BodyText"/>
      </w:pPr>
      <w:r>
        <w:t xml:space="preserve">И вторую программу, понимаем, что они внешне одинаково работают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313372"/>
            <wp:effectExtent b="0" l="0" r="0" t="0"/>
            <wp:docPr descr="Рис. 9 Запускаем вторую программу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 Запускаем вторую программу</w:t>
      </w:r>
    </w:p>
    <w:bookmarkEnd w:id="51"/>
    <w:bookmarkStart w:id="72" w:name="X32ff26b75a7156f968f22ae721fd8fec4b51e1d"/>
    <w:p>
      <w:pPr>
        <w:pStyle w:val="Heading1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Копируем файл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362798"/>
            <wp:effectExtent b="0" l="0" r="0" t="0"/>
            <wp:docPr descr="Рис. 10 Копируем файл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Копируем файл</w:t>
      </w:r>
    </w:p>
    <w:p>
      <w:pPr>
        <w:pStyle w:val="BodyText"/>
      </w:pPr>
      <w:r>
        <w:t xml:space="preserve">Открываем файл для редактирования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144767"/>
            <wp:effectExtent b="0" l="0" r="0" t="0"/>
            <wp:docPr descr="Рис. 11 Открываем файл для редактирования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 Открываем файл для редактирования</w:t>
      </w:r>
    </w:p>
    <w:p>
      <w:pPr>
        <w:pStyle w:val="BodyText"/>
      </w:pPr>
      <w:r>
        <w:t xml:space="preserve">Редактируем файл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r>
        <w:drawing>
          <wp:inline>
            <wp:extent cx="3733800" cy="1850333"/>
            <wp:effectExtent b="0" l="0" r="0" t="0"/>
            <wp:docPr descr="Рис. 12 Редактируем файл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 Редактируем файл</w:t>
      </w:r>
    </w:p>
    <w:p>
      <w:pPr>
        <w:pStyle w:val="BodyText"/>
      </w:pPr>
      <w:r>
        <w:t xml:space="preserve">Компиллируем файл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3733800" cy="178864"/>
            <wp:effectExtent b="0" l="0" r="0" t="0"/>
            <wp:docPr descr="Рис. 13 Компиллируем файл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 Компиллируем файл</w:t>
      </w:r>
    </w:p>
    <w:p>
      <w:pPr>
        <w:pStyle w:val="BodyText"/>
      </w:pPr>
      <w:r>
        <w:t xml:space="preserve">Компонуем файл и запускаем: работает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r>
        <w:drawing>
          <wp:inline>
            <wp:extent cx="3733800" cy="430823"/>
            <wp:effectExtent b="0" l="0" r="0" t="0"/>
            <wp:docPr descr="Рис. 14 Компонуем файл и запускаем: работает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 Компонуем файл и запускаем: работает</w:t>
      </w:r>
    </w:p>
    <w:p>
      <w:pPr>
        <w:pStyle w:val="BodyText"/>
      </w:pPr>
      <w:r>
        <w:t xml:space="preserve">Загрузил на github</w:t>
      </w:r>
      <w:r>
        <w:t xml:space="preserve"> </w:t>
      </w:r>
      <w:hyperlink r:id="rId67">
        <w:r>
          <w:rPr>
            <w:rStyle w:val="Hyperlink"/>
          </w:rPr>
          <w:t xml:space="preserve">https://github.com/ShirinkinTB/study_2023-2024_arhpc/tree/master/labs/lab04</w:t>
        </w:r>
      </w:hyperlink>
      <w:r>
        <w:t xml:space="preserve"> </w:t>
      </w:r>
      <w:r>
        <w:t xml:space="preserve">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BodyText"/>
      </w:pPr>
      <w:bookmarkStart w:id="71" w:name="fig:015"/>
      <w:r>
        <w:drawing>
          <wp:inline>
            <wp:extent cx="3733800" cy="3071351"/>
            <wp:effectExtent b="0" l="0" r="0" t="0"/>
            <wp:docPr descr="Рис. 15 Загрузил на github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Цель достигнута: освоена процедура компиляции и сборки программ на ассемблере.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7" Target="https://github.com/ShirinkinTB/study_2023-2024_arh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github.com/ShirinkinTB/study_2023-2024_arh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№4</dc:title>
  <dc:creator>Ширинкин Т. Б.</dc:creator>
  <dc:language>ru-RU</dc:language>
  <cp:keywords/>
  <dcterms:created xsi:type="dcterms:W3CDTF">2023-10-28T20:53:57Z</dcterms:created>
  <dcterms:modified xsi:type="dcterms:W3CDTF">2023-10-28T20:53:57Z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