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0"/>
        <w:outlineLvl w:val="0"/>
      </w:pPr>
      <w:r>
        <w:t xml:space="preserve">Quantile Mapping: A Fitted, Cross-Validated Baseline</w:t>
      </w:r>
    </w:p>
    <w:p>
      <w:pPr>
        <w:spacing w:after="120" w:before="60"/>
        <w:jc w:val="left"/>
      </w:pPr>
      <w:r>
        <w:rPr>
          <w:b/>
          <w:bCs/>
          <w:sz w:val="21"/>
          <w:szCs w:val="21"/>
        </w:rPr>
        <w:t xml:space="preserve">CMIP6 temperature downscaled to ERA5-Land resolution</w:t>
      </w:r>
      <w:r>
        <w:rPr>
          <w:sz w:val="21"/>
          <w:szCs w:val="21"/>
        </w:rPr>
        <w:t xml:space="preserve"> · Eastern Mediterranean and Middle East (24–38°N, 30–38°E) · 1990–1999</w:t>
      </w:r>
    </w:p>
    <w:p>
      <w:pPr>
        <w:pBdr>
          <w:bottom w:val="single" w:color="D5DBDE" w:sz="6"/>
        </w:pBdr>
        <w:spacing w:after="120" w:before="120"/>
      </w:pPr>
    </w:p>
    <w:p>
      <w:pPr>
        <w:pStyle w:val="Heading1"/>
        <w:spacing w:after="120" w:before="260"/>
        <w:outlineLvl w:val="1"/>
      </w:pPr>
      <w:r>
        <w:t xml:space="preserve">Introduction</w:t>
      </w:r>
    </w:p>
    <w:p>
      <w:pPr>
        <w:spacing w:after="120" w:before="60"/>
        <w:jc w:val="left"/>
      </w:pPr>
      <w:r>
        <w:rPr>
          <w:sz w:val="21"/>
          <w:szCs w:val="21"/>
        </w:rPr>
        <w:t xml:space="preserve">CMIP6 is a free-running model, so its 3 May 1994 is </w:t>
      </w:r>
      <w:r>
        <w:rPr>
          <w:i/>
          <w:iCs/>
          <w:sz w:val="21"/>
          <w:szCs w:val="21"/>
        </w:rPr>
        <w:t xml:space="preserve">a</w:t>
      </w:r>
      <w:r>
        <w:rPr>
          <w:sz w:val="21"/>
          <w:szCs w:val="21"/>
        </w:rPr>
        <w:t xml:space="preserve"> plausible 3 May, not </w:t>
      </w:r>
      <w:r>
        <w:rPr>
          <w:i/>
          <w:iCs/>
          <w:sz w:val="21"/>
          <w:szCs w:val="21"/>
        </w:rPr>
        <w:t xml:space="preserve">the</w:t>
      </w:r>
      <w:r>
        <w:rPr>
          <w:sz w:val="21"/>
          <w:szCs w:val="21"/>
        </w:rPr>
        <w:t xml:space="preserve"> 3 May. A regression that pairs each CMIP6 day with the same observed day therefore has no valid pairing to fit (Nirel 2026). The alternative is to compare distributions rather than days, which is the Model Output Statistics route and specifically quantile mapping (Déqué 2007).</w:t>
      </w:r>
    </w:p>
    <w:p>
      <w:pPr>
        <w:spacing w:after="120" w:before="60"/>
        <w:jc w:val="left"/>
      </w:pPr>
      <w:r>
        <w:rPr>
          <w:sz w:val="21"/>
          <w:szCs w:val="21"/>
        </w:rPr>
        <w:t xml:space="preserve">Earlier work measured how far five coarse-to-fine constructions sat from the observations across four window lengths, but fitted no correction, so nothing could be scored out of sample. This document reports the fitted baseline: one modelled variable, one distribution window, six transforms, every number from a held-out year.</w:t>
      </w:r>
    </w:p>
    <w:p>
      <w:pPr>
        <w:spacing w:after="120" w:before="60"/>
        <w:jc w:val="left"/>
      </w:pPr>
      <w:r>
        <w:rPr>
          <w:sz w:val="21"/>
          <w:szCs w:val="21"/>
        </w:rPr>
        <w:t xml:space="preserve">The question is how much of the modelled variable's error a quantile-mapping transform removes, and whether the choice of transform matters.</w:t>
      </w:r>
    </w:p>
    <w:p>
      <w:pPr>
        <w:pBdr>
          <w:bottom w:val="single" w:color="D5DBDE" w:sz="6"/>
        </w:pBdr>
        <w:spacing w:after="120" w:before="120"/>
      </w:pPr>
    </w:p>
    <w:p>
      <w:pPr>
        <w:pStyle w:val="Heading1"/>
        <w:spacing w:after="120" w:before="260"/>
        <w:outlineLvl w:val="1"/>
      </w:pPr>
      <w:r>
        <w:t xml:space="preserve">Methods</w:t>
      </w:r>
    </w:p>
    <w:p>
      <w:pPr>
        <w:pStyle w:val="Heading2"/>
        <w:spacing w:after="120" w:before="260"/>
        <w:outlineLvl w:val="2"/>
      </w:pPr>
      <w:r>
        <w:t xml:space="preserve">Modelled variable</w:t>
      </w:r>
    </w:p>
    <w:p>
      <w:pPr>
        <w:spacing w:after="120" w:before="60"/>
        <w:jc w:val="left"/>
      </w:pPr>
      <w:r>
        <w:rPr>
          <w:sz w:val="21"/>
          <w:szCs w:val="21"/>
        </w:rPr>
        <w:t xml:space="preserve">The modelled variable is CMIP6 daily near-surface air temperature (</w:t>
      </w:r>
      <w:r>
        <w:rPr>
          <w:rFonts w:ascii="Consolas" w:cs="Consolas" w:eastAsia="Consolas" w:hAnsi="Consolas"/>
          <w:sz w:val="19"/>
          <w:szCs w:val="19"/>
        </w:rPr>
        <w:t xml:space="preserve">tas</w:t>
      </w:r>
      <w:r>
        <w:rPr>
          <w:sz w:val="21"/>
          <w:szCs w:val="21"/>
        </w:rPr>
        <w:t xml:space="preserve">) from CESM2-WACCM, historical experiment, member r1i1p1f1, regridded onto the ERA5-Land grid by </w:t>
      </w:r>
      <w:r>
        <w:rPr>
          <w:b/>
          <w:bCs/>
          <w:sz w:val="21"/>
          <w:szCs w:val="21"/>
        </w:rPr>
        <w:t xml:space="preserve">bilinear interpolation</w:t>
      </w:r>
      <w:r>
        <w:rPr>
          <w:sz w:val="21"/>
          <w:szCs w:val="21"/>
        </w:rPr>
        <w:t xml:space="preserve">.</w:t>
      </w:r>
    </w:p>
    <w:tbl>
      <w:tblPr>
        <w:tblW w:type="dxa" w:w="10080"/>
        <w:tblBorders>
          <w:top w:val="single" w:color="D5DBDE" w:sz="2"/>
          <w:left w:val="single" w:color="D5DBDE" w:sz="2"/>
          <w:bottom w:val="single" w:color="D5DBDE" w:sz="2"/>
          <w:right w:val="single" w:color="D5DBDE" w:sz="2"/>
          <w:insideH w:val="single" w:color="D5DBDE" w:sz="2"/>
          <w:insideV w:val="single" w:color="D5DBDE" w:sz="2"/>
        </w:tblBorders>
      </w:tblPr>
      <w:tblGrid>
        <w:gridCol w:w="2520"/>
        <w:gridCol w:w="2520"/>
        <w:gridCol w:w="2520"/>
        <w:gridCol w:w="2520"/>
      </w:tblGrid>
      <w:tr>
        <w:trPr>
          <w:tblHeader/>
        </w:trPr>
        <w:tc>
          <w:tcPr>
            <w:tcW w:type="dxa" w:w="2520"/>
            <w:shd w:fill="F2F4F5" w:color="auto" w:val="clear"/>
            <w:tcMar>
              <w:top w:type="dxa" w:w="60"/>
              <w:left w:type="dxa" w:w="110"/>
              <w:bottom w:type="dxa" w:w="60"/>
              <w:right w:type="dxa" w:w="110"/>
            </w:tcMar>
          </w:tcPr>
          <w:p>
            <w:pPr>
              <w:spacing w:after="0" w:before="0"/>
              <w:jc w:val="left"/>
            </w:pPr>
            <w:r>
              <w:rPr>
                <w:b/>
                <w:bCs/>
                <w:sz w:val="19"/>
                <w:szCs w:val="19"/>
              </w:rPr>
              <w:t xml:space="preserve"/>
            </w:r>
          </w:p>
        </w:tc>
        <w:tc>
          <w:tcPr>
            <w:tcW w:type="dxa" w:w="2520"/>
            <w:shd w:fill="F2F4F5" w:color="auto" w:val="clear"/>
            <w:tcMar>
              <w:top w:type="dxa" w:w="60"/>
              <w:left w:type="dxa" w:w="110"/>
              <w:bottom w:type="dxa" w:w="60"/>
              <w:right w:type="dxa" w:w="110"/>
            </w:tcMar>
          </w:tcPr>
          <w:p>
            <w:pPr>
              <w:spacing w:after="0" w:before="0"/>
              <w:jc w:val="left"/>
            </w:pPr>
            <w:r>
              <w:rPr>
                <w:b/>
                <w:bCs/>
                <w:sz w:val="19"/>
                <w:szCs w:val="19"/>
              </w:rPr>
              <w:t xml:space="preserve">Grid</w:t>
            </w:r>
          </w:p>
        </w:tc>
        <w:tc>
          <w:tcPr>
            <w:tcW w:type="dxa" w:w="2520"/>
            <w:shd w:fill="F2F4F5" w:color="auto" w:val="clear"/>
            <w:tcMar>
              <w:top w:type="dxa" w:w="60"/>
              <w:left w:type="dxa" w:w="110"/>
              <w:bottom w:type="dxa" w:w="60"/>
              <w:right w:type="dxa" w:w="110"/>
            </w:tcMar>
          </w:tcPr>
          <w:p>
            <w:pPr>
              <w:spacing w:after="0" w:before="0"/>
              <w:jc w:val="left"/>
            </w:pPr>
            <w:r>
              <w:rPr>
                <w:b/>
                <w:bCs/>
                <w:sz w:val="19"/>
                <w:szCs w:val="19"/>
              </w:rPr>
              <w:t xml:space="preserve">Spacing</w:t>
            </w:r>
          </w:p>
        </w:tc>
        <w:tc>
          <w:tcPr>
            <w:tcW w:type="dxa" w:w="2520"/>
            <w:shd w:fill="F2F4F5" w:color="auto" w:val="clear"/>
            <w:tcMar>
              <w:top w:type="dxa" w:w="60"/>
              <w:left w:type="dxa" w:w="110"/>
              <w:bottom w:type="dxa" w:w="60"/>
              <w:right w:type="dxa" w:w="110"/>
            </w:tcMar>
          </w:tcPr>
          <w:p>
            <w:pPr>
              <w:spacing w:after="0" w:before="0"/>
              <w:jc w:val="left"/>
            </w:pPr>
            <w:r>
              <w:rPr>
                <w:b/>
                <w:bCs/>
                <w:sz w:val="19"/>
                <w:szCs w:val="19"/>
              </w:rPr>
              <w:t xml:space="preserve">Cells in the study box</w:t>
            </w:r>
          </w:p>
        </w:tc>
      </w:tr>
      <w:tr>
        <w:trPr>
          <w:tblHeader w:val="false"/>
        </w:trPr>
        <w:tc>
          <w:tcPr>
            <w:tcW w:type="dxa" w:w="2520"/>
            <w:tcMar>
              <w:top w:type="dxa" w:w="60"/>
              <w:left w:type="dxa" w:w="110"/>
              <w:bottom w:type="dxa" w:w="60"/>
              <w:right w:type="dxa" w:w="110"/>
            </w:tcMar>
          </w:tcPr>
          <w:p>
            <w:pPr>
              <w:spacing w:after="0" w:before="0"/>
              <w:jc w:val="left"/>
            </w:pPr>
            <w:r>
              <w:rPr>
                <w:sz w:val="19"/>
                <w:szCs w:val="19"/>
              </w:rPr>
              <w:t xml:space="preserve">CMIP6 (source)</w:t>
            </w:r>
          </w:p>
        </w:tc>
        <w:tc>
          <w:tcPr>
            <w:tcW w:type="dxa" w:w="2520"/>
            <w:tcMar>
              <w:top w:type="dxa" w:w="60"/>
              <w:left w:type="dxa" w:w="110"/>
              <w:bottom w:type="dxa" w:w="60"/>
              <w:right w:type="dxa" w:w="110"/>
            </w:tcMar>
          </w:tcPr>
          <w:p>
            <w:pPr>
              <w:spacing w:after="0" w:before="0"/>
              <w:jc w:val="left"/>
            </w:pPr>
            <w:r>
              <w:rPr>
                <w:sz w:val="19"/>
                <w:szCs w:val="19"/>
              </w:rPr>
              <w:t xml:space="preserve">CESM2-WACCM finite-volume</w:t>
            </w:r>
          </w:p>
        </w:tc>
        <w:tc>
          <w:tcPr>
            <w:tcW w:type="dxa" w:w="2520"/>
            <w:tcMar>
              <w:top w:type="dxa" w:w="60"/>
              <w:left w:type="dxa" w:w="110"/>
              <w:bottom w:type="dxa" w:w="60"/>
              <w:right w:type="dxa" w:w="110"/>
            </w:tcMar>
          </w:tcPr>
          <w:p>
            <w:pPr>
              <w:spacing w:after="0" w:before="0"/>
              <w:jc w:val="left"/>
            </w:pPr>
            <w:r>
              <w:rPr>
                <w:sz w:val="19"/>
                <w:szCs w:val="19"/>
              </w:rPr>
              <w:t xml:space="preserve">0.942° lat × 1.250° lon</w:t>
            </w:r>
          </w:p>
        </w:tc>
        <w:tc>
          <w:tcPr>
            <w:tcW w:type="dxa" w:w="2520"/>
            <w:tcMar>
              <w:top w:type="dxa" w:w="60"/>
              <w:left w:type="dxa" w:w="110"/>
              <w:bottom w:type="dxa" w:w="60"/>
              <w:right w:type="dxa" w:w="110"/>
            </w:tcMar>
          </w:tcPr>
          <w:p>
            <w:pPr>
              <w:spacing w:after="0" w:before="0"/>
              <w:jc w:val="right"/>
            </w:pPr>
            <w:r>
              <w:rPr>
                <w:sz w:val="19"/>
                <w:szCs w:val="19"/>
              </w:rPr>
              <w:t xml:space="preserve">153</w:t>
            </w:r>
          </w:p>
        </w:tc>
      </w:tr>
      <w:tr>
        <w:trPr>
          <w:tblHeader w:val="false"/>
        </w:trPr>
        <w:tc>
          <w:tcPr>
            <w:tcW w:type="dxa" w:w="2520"/>
            <w:tcMar>
              <w:top w:type="dxa" w:w="60"/>
              <w:left w:type="dxa" w:w="110"/>
              <w:bottom w:type="dxa" w:w="60"/>
              <w:right w:type="dxa" w:w="110"/>
            </w:tcMar>
          </w:tcPr>
          <w:p>
            <w:pPr>
              <w:spacing w:after="0" w:before="0"/>
              <w:jc w:val="left"/>
            </w:pPr>
            <w:r>
              <w:rPr>
                <w:sz w:val="19"/>
                <w:szCs w:val="19"/>
              </w:rPr>
              <w:t xml:space="preserve">ERA5-Land (target)</w:t>
            </w:r>
          </w:p>
        </w:tc>
        <w:tc>
          <w:tcPr>
            <w:tcW w:type="dxa" w:w="2520"/>
            <w:tcMar>
              <w:top w:type="dxa" w:w="60"/>
              <w:left w:type="dxa" w:w="110"/>
              <w:bottom w:type="dxa" w:w="60"/>
              <w:right w:type="dxa" w:w="110"/>
            </w:tcMar>
          </w:tcPr>
          <w:p>
            <w:pPr>
              <w:spacing w:after="0" w:before="0"/>
              <w:jc w:val="left"/>
            </w:pPr>
            <w:r>
              <w:rPr>
                <w:sz w:val="19"/>
                <w:szCs w:val="19"/>
              </w:rPr>
              <w:t xml:space="preserve">regular lat–lon</w:t>
            </w:r>
          </w:p>
        </w:tc>
        <w:tc>
          <w:tcPr>
            <w:tcW w:type="dxa" w:w="2520"/>
            <w:tcMar>
              <w:top w:type="dxa" w:w="60"/>
              <w:left w:type="dxa" w:w="110"/>
              <w:bottom w:type="dxa" w:w="60"/>
              <w:right w:type="dxa" w:w="110"/>
            </w:tcMar>
          </w:tcPr>
          <w:p>
            <w:pPr>
              <w:spacing w:after="0" w:before="0"/>
              <w:jc w:val="left"/>
            </w:pPr>
            <w:r>
              <w:rPr>
                <w:sz w:val="19"/>
                <w:szCs w:val="19"/>
              </w:rPr>
              <w:t xml:space="preserve">0.100° × 0.100°</w:t>
            </w:r>
          </w:p>
        </w:tc>
        <w:tc>
          <w:tcPr>
            <w:tcW w:type="dxa" w:w="2520"/>
            <w:tcMar>
              <w:top w:type="dxa" w:w="60"/>
              <w:left w:type="dxa" w:w="110"/>
              <w:bottom w:type="dxa" w:w="60"/>
              <w:right w:type="dxa" w:w="110"/>
            </w:tcMar>
          </w:tcPr>
          <w:p>
            <w:pPr>
              <w:spacing w:after="0" w:before="0"/>
              <w:jc w:val="right"/>
            </w:pPr>
            <w:r>
              <w:rPr>
                <w:sz w:val="19"/>
                <w:szCs w:val="19"/>
              </w:rPr>
              <w:t xml:space="preserve">11,421</w:t>
            </w:r>
          </w:p>
        </w:tc>
      </w:tr>
    </w:tbl>
    <w:p>
      <w:pPr>
        <w:spacing w:after="100"/>
      </w:pPr>
    </w:p>
    <w:p>
      <w:pPr>
        <w:spacing w:after="120" w:before="60"/>
        <w:jc w:val="left"/>
      </w:pPr>
      <w:r>
        <w:rPr>
          <w:sz w:val="21"/>
          <w:szCs w:val="21"/>
        </w:rPr>
        <w:t xml:space="preserve">Each fine pixel takes a weighted average of the four surrounding coarse cell values, with weights linear in latitude and longitude distance. About 118 fine pixels fall inside one coarse cell. The operation is performed once with CDO </w:t>
      </w:r>
      <w:r>
        <w:rPr>
          <w:rFonts w:ascii="Consolas" w:cs="Consolas" w:eastAsia="Consolas" w:hAnsi="Consolas"/>
          <w:sz w:val="19"/>
          <w:szCs w:val="19"/>
        </w:rPr>
        <w:t xml:space="preserve">remapbil</w:t>
      </w:r>
      <w:r>
        <w:rPr>
          <w:sz w:val="21"/>
          <w:szCs w:val="21"/>
        </w:rPr>
        <w:t xml:space="preserve"> and cached; </w:t>
      </w:r>
      <w:r>
        <w:rPr>
          <w:rFonts w:ascii="Consolas" w:cs="Consolas" w:eastAsia="Consolas" w:hAnsi="Consolas"/>
          <w:sz w:val="19"/>
          <w:szCs w:val="19"/>
        </w:rPr>
        <w:t xml:space="preserve">scipy.interpolate.RegularGridInterpolator</w:t>
      </w:r>
      <w:r>
        <w:rPr>
          <w:sz w:val="21"/>
          <w:szCs w:val="21"/>
        </w:rPr>
        <w:t xml:space="preserve"> is the fallback where CDO is unavailable.</w:t>
      </w:r>
    </w:p>
    <w:p>
      <w:pPr>
        <w:pStyle w:val="Heading2"/>
        <w:spacing w:after="120" w:before="260"/>
        <w:outlineLvl w:val="2"/>
      </w:pPr>
      <w:r>
        <w:t xml:space="preserve">Distribution window</w:t>
      </w:r>
    </w:p>
    <w:p>
      <w:pPr>
        <w:spacing w:after="120" w:before="60"/>
        <w:jc w:val="left"/>
      </w:pPr>
      <w:r>
        <w:rPr>
          <w:sz w:val="21"/>
          <w:szCs w:val="21"/>
        </w:rPr>
        <w:t xml:space="preserve">The distribution is estimated over a meteorological season, DJF / MAM / JJA / SON, grouped by season-year with December counted into the following year's winter. Each season-year at each pixel yields 90 to 92 daily values.</w:t>
      </w:r>
    </w:p>
    <w:p>
      <w:pPr>
        <w:spacing w:after="120" w:before="60"/>
        <w:jc w:val="left"/>
      </w:pPr>
      <w:r>
        <w:rPr>
          <w:sz w:val="21"/>
          <w:szCs w:val="21"/>
        </w:rPr>
        <w:t xml:space="preserve">Pooled over a full year the daily distribution at a fixed pixel is bimodal, because the annual cycle dominates it, so no parametric form applies. Sub-annual stratification is standard practice: Lange (2019) adjusts per grid cell per calendar month, and Lehner et al. (2023) adjust "on a monthly basis". Reiter et al. (2018) tested the timescale directly across four methods and found that "calibrating QM with subsamples instead of the calibration data as a whole resulted in a clear benefit", with the out-of-sample optimum between semi-annual and monthly and dependent on the method.</w:t>
      </w:r>
    </w:p>
    <w:p>
      <w:pPr>
        <w:spacing w:after="120" w:before="60"/>
        <w:jc w:val="left"/>
      </w:pPr>
      <w:r>
        <w:rPr>
          <w:sz w:val="21"/>
          <w:szCs w:val="21"/>
        </w:rPr>
        <w:t xml:space="preserve">Season rather than month is a sample-size choice. A calendar month gives about 300 training days against a season's 820, and Lehner et al. note that 30 years is the typical calibration length "since the statistical distribution of data of a shorter time period can be very noisy". Reiter et al. also found that at monthly resolution the more flexible methods corrected independent-data extremes "to unrealistically high values".</w:t>
      </w:r>
    </w:p>
    <w:p>
      <w:pPr>
        <w:pStyle w:val="Heading2"/>
        <w:spacing w:after="120" w:before="260"/>
        <w:outlineLvl w:val="2"/>
      </w:pPr>
      <w:r>
        <w:t xml:space="preserve">Percentiles</w:t>
      </w:r>
    </w:p>
    <w:p>
      <w:pPr>
        <w:spacing w:after="120" w:before="60"/>
        <w:jc w:val="left"/>
      </w:pPr>
      <w:r>
        <w:rPr>
          <w:sz w:val="21"/>
          <w:szCs w:val="21"/>
        </w:rPr>
        <w:t xml:space="preserve">Each seasonal distribution is summarised at five percentiles: </w:t>
      </w:r>
      <w:r>
        <w:rPr>
          <w:b/>
          <w:bCs/>
          <w:sz w:val="21"/>
          <w:szCs w:val="21"/>
        </w:rPr>
        <w:t xml:space="preserve">P5, P25, P50, P75 and P90</w:t>
      </w:r>
      <w:r>
        <w:rPr>
          <w:sz w:val="21"/>
          <w:szCs w:val="21"/>
        </w:rPr>
        <w:t xml:space="preserve">. These are the target quantities; there is one prediction and one error per percentile.</w:t>
      </w:r>
    </w:p>
    <w:p>
      <w:pPr>
        <w:spacing w:after="120" w:before="60"/>
        <w:jc w:val="left"/>
      </w:pPr>
      <w:r>
        <w:rPr>
          <w:sz w:val="21"/>
          <w:szCs w:val="21"/>
        </w:rPr>
        <w:t xml:space="preserve">P50 is the seasonal median. P25 and P75 bound the interquartile range. P5 and P90 describe the tails without reaching the extremes: in a 92-day season P5 falls near the fifth coldest day and P90 near the ninth warmest, so both rest on several observations rather than one. True extremes, which would need a generalised extreme value treatment, are out of scope.</w:t>
      </w:r>
    </w:p>
    <w:p>
      <w:pPr>
        <w:spacing w:after="120" w:before="60"/>
        <w:jc w:val="left"/>
      </w:pPr>
      <w:r>
        <w:rPr>
          <w:sz w:val="21"/>
          <w:szCs w:val="21"/>
        </w:rPr>
        <w:t xml:space="preserve">Percentiles are estimated with </w:t>
      </w:r>
      <w:r>
        <w:rPr>
          <w:rFonts w:ascii="Consolas" w:cs="Consolas" w:eastAsia="Consolas" w:hAnsi="Consolas"/>
          <w:sz w:val="19"/>
          <w:szCs w:val="19"/>
        </w:rPr>
        <w:t xml:space="preserve">numpy.percentile</w:t>
      </w:r>
      <w:r>
        <w:rPr>
          <w:sz w:val="21"/>
          <w:szCs w:val="21"/>
        </w:rPr>
        <w:t xml:space="preserve"> default linear interpolation between order statistics, the same estimator on the predicted and observed side.</w:t>
      </w:r>
    </w:p>
    <w:p>
      <w:pPr>
        <w:pStyle w:val="Heading2"/>
        <w:spacing w:after="120" w:before="260"/>
        <w:outlineLvl w:val="2"/>
      </w:pPr>
      <w:r>
        <w:t xml:space="preserve">Models</w:t>
      </w:r>
    </w:p>
    <w:p>
      <w:pPr>
        <w:spacing w:after="120" w:before="60"/>
        <w:jc w:val="left"/>
      </w:pPr>
      <w:r>
        <w:rPr>
          <w:sz w:val="21"/>
          <w:szCs w:val="21"/>
        </w:rPr>
        <w:t xml:space="preserve">A transform </w:t>
      </w:r>
      <w:r>
        <w:rPr>
          <w:rFonts w:ascii="Consolas" w:cs="Consolas" w:eastAsia="Consolas" w:hAnsi="Consolas"/>
          <w:sz w:val="19"/>
          <w:szCs w:val="19"/>
        </w:rPr>
        <w:t xml:space="preserve">h</w:t>
      </w:r>
      <w:r>
        <w:rPr>
          <w:sz w:val="21"/>
          <w:szCs w:val="21"/>
        </w:rPr>
        <w:t xml:space="preserve"> maps a modelled value to a corrected value so the corrected distribution matches the observed one. The general form is the probability integral transform, </w:t>
      </w:r>
      <w:r>
        <w:rPr>
          <w:rFonts w:ascii="Consolas" w:cs="Consolas" w:eastAsia="Consolas" w:hAnsi="Consolas"/>
          <w:sz w:val="19"/>
          <w:szCs w:val="19"/>
        </w:rPr>
        <w:t xml:space="preserve">ŷ = F_obs⁻¹(F_mod(x))</w:t>
      </w:r>
      <w:r>
        <w:rPr>
          <w:sz w:val="21"/>
          <w:szCs w:val="21"/>
        </w:rPr>
        <w:t xml:space="preserve">, with both distribution functions estimated from the calibration sample.</w:t>
      </w:r>
    </w:p>
    <w:p>
      <w:pPr>
        <w:spacing w:after="120" w:before="60"/>
        <w:jc w:val="left"/>
      </w:pPr>
      <w:r>
        <w:rPr>
          <w:sz w:val="21"/>
          <w:szCs w:val="21"/>
        </w:rPr>
        <w:t xml:space="preserve">Each transform is fitted on the empirical quantile–quantile curve of the training days. The distribution-derived and parametric transforms use every training day; the three non-parametric transforms use a 99-node percentile table.</w:t>
      </w:r>
      <w:r>
        <w:rPr>
          <w:sz w:val="21"/>
          <w:szCs w:val="21"/>
          <w:vertAlign w:val="superscript"/>
        </w:rPr>
        <w:t xml:space="preserve">*</w:t>
      </w:r>
    </w:p>
    <w:p>
      <w:pPr>
        <w:spacing w:after="120" w:before="60"/>
        <w:jc w:val="left"/>
      </w:pPr>
      <w:r>
        <w:rPr>
          <w:b/>
          <w:bCs/>
          <w:sz w:val="21"/>
          <w:szCs w:val="21"/>
        </w:rPr>
        <w:t xml:space="preserve">Normal</w:t>
      </w:r>
      <w:r>
        <w:rPr>
          <w:sz w:val="21"/>
          <w:szCs w:val="21"/>
        </w:rPr>
        <w:t xml:space="preserve"> — distribution derived. Both sides are assumed normal, which gives </w:t>
      </w:r>
      <w:r>
        <w:rPr>
          <w:rFonts w:ascii="Consolas" w:cs="Consolas" w:eastAsia="Consolas" w:hAnsi="Consolas"/>
          <w:sz w:val="19"/>
          <w:szCs w:val="19"/>
        </w:rPr>
        <w:t xml:space="preserve">h</w:t>
      </w:r>
      <w:r>
        <w:rPr>
          <w:sz w:val="21"/>
          <w:szCs w:val="21"/>
        </w:rPr>
        <w:t xml:space="preserve"> in closed form as </w:t>
      </w:r>
      <w:r>
        <w:rPr>
          <w:rFonts w:ascii="Consolas" w:cs="Consolas" w:eastAsia="Consolas" w:hAnsi="Consolas"/>
          <w:sz w:val="19"/>
          <w:szCs w:val="19"/>
        </w:rPr>
        <w:t xml:space="preserve">μ_y + (σ_y/σ_x)(x − μ_x)</w:t>
      </w:r>
      <w:r>
        <w:rPr>
          <w:sz w:val="21"/>
          <w:szCs w:val="21"/>
        </w:rPr>
        <w:t xml:space="preserve">, with the moments estimated from the training days.</w:t>
      </w:r>
    </w:p>
    <w:p>
      <w:pPr>
        <w:spacing w:after="120" w:before="60"/>
        <w:jc w:val="left"/>
      </w:pPr>
      <w:r>
        <w:rPr>
          <w:b/>
          <w:bCs/>
          <w:sz w:val="21"/>
          <w:szCs w:val="21"/>
        </w:rPr>
        <w:t xml:space="preserve">Linear</w:t>
      </w:r>
      <w:r>
        <w:rPr>
          <w:sz w:val="21"/>
          <w:szCs w:val="21"/>
        </w:rPr>
        <w:t xml:space="preserve"> — parametric. </w:t>
      </w:r>
      <w:r>
        <w:rPr>
          <w:rFonts w:ascii="Consolas" w:cs="Consolas" w:eastAsia="Consolas" w:hAnsi="Consolas"/>
          <w:sz w:val="19"/>
          <w:szCs w:val="19"/>
        </w:rPr>
        <w:t xml:space="preserve">h(x) = a + bx</w:t>
      </w:r>
      <w:r>
        <w:rPr>
          <w:sz w:val="21"/>
          <w:szCs w:val="21"/>
        </w:rPr>
        <w:t xml:space="preserve">, fitted by least squares on the sorted training pairs. Two parameters, no hyper-parameter.</w:t>
      </w:r>
    </w:p>
    <w:p>
      <w:pPr>
        <w:spacing w:after="120" w:before="60"/>
        <w:jc w:val="left"/>
      </w:pPr>
      <w:r>
        <w:rPr>
          <w:b/>
          <w:bCs/>
          <w:sz w:val="21"/>
          <w:szCs w:val="21"/>
        </w:rPr>
        <w:t xml:space="preserve">Polynomial</w:t>
      </w:r>
      <w:r>
        <w:rPr>
          <w:sz w:val="21"/>
          <w:szCs w:val="21"/>
        </w:rPr>
        <w:t xml:space="preserve"> — parametric. A polynomial of degree </w:t>
      </w:r>
      <w:r>
        <w:rPr>
          <w:i/>
          <w:iCs/>
          <w:sz w:val="21"/>
          <w:szCs w:val="21"/>
        </w:rPr>
        <w:t xml:space="preserve">d</w:t>
      </w:r>
      <w:r>
        <w:rPr>
          <w:sz w:val="21"/>
          <w:szCs w:val="21"/>
        </w:rPr>
        <w:t xml:space="preserve">, with </w:t>
      </w:r>
      <w:r>
        <w:rPr>
          <w:i/>
          <w:iCs/>
          <w:sz w:val="21"/>
          <w:szCs w:val="21"/>
        </w:rPr>
        <w:t xml:space="preserve">d</w:t>
      </w:r>
      <w:r>
        <w:rPr>
          <w:sz w:val="21"/>
          <w:szCs w:val="21"/>
        </w:rPr>
        <w:t xml:space="preserve"> ∈ {2, 3, 4, 5}. The abscissa is centred and scaled before the design matrix is built, since raw °C gives a Vandermonde condition number near 10⁹.</w:t>
      </w:r>
    </w:p>
    <w:p>
      <w:pPr>
        <w:spacing w:after="120" w:before="60"/>
        <w:jc w:val="left"/>
      </w:pPr>
      <w:r>
        <w:rPr>
          <w:b/>
          <w:bCs/>
          <w:sz w:val="21"/>
          <w:szCs w:val="21"/>
        </w:rPr>
        <w:t xml:space="preserve">QUANT</w:t>
      </w:r>
      <w:r>
        <w:rPr>
          <w:sz w:val="21"/>
          <w:szCs w:val="21"/>
        </w:rPr>
        <w:t xml:space="preserve"> — non-parametric. The q–q relation is stored as a table of empirical percentiles and read by linear interpolation, with the table anchored at the training extremes. This is classical empirical quantile mapping (Boé et al. 2007). Node count ∈ {11, 19, 49, 99}; a table of </w:t>
      </w:r>
      <w:r>
        <w:rPr>
          <w:i/>
          <w:iCs/>
          <w:sz w:val="21"/>
          <w:szCs w:val="21"/>
        </w:rPr>
        <w:t xml:space="preserve">n</w:t>
      </w:r>
      <w:r>
        <w:rPr>
          <w:sz w:val="21"/>
          <w:szCs w:val="21"/>
        </w:rPr>
        <w:t xml:space="preserve"> nodes places its outermost nodes at probabilities </w:t>
      </w:r>
      <w:r>
        <w:rPr>
          <w:rFonts w:ascii="Consolas" w:cs="Consolas" w:eastAsia="Consolas" w:hAnsi="Consolas"/>
          <w:sz w:val="19"/>
          <w:szCs w:val="19"/>
        </w:rPr>
        <w:t xml:space="preserve">0.5/n</w:t>
      </w:r>
      <w:r>
        <w:rPr>
          <w:sz w:val="21"/>
          <w:szCs w:val="21"/>
        </w:rPr>
        <w:t xml:space="preserve"> and </w:t>
      </w:r>
      <w:r>
        <w:rPr>
          <w:rFonts w:ascii="Consolas" w:cs="Consolas" w:eastAsia="Consolas" w:hAnsi="Consolas"/>
          <w:sz w:val="19"/>
          <w:szCs w:val="19"/>
        </w:rPr>
        <w:t xml:space="preserve">1 − 0.5/n</w:t>
      </w:r>
      <w:r>
        <w:rPr>
          <w:sz w:val="21"/>
          <w:szCs w:val="21"/>
        </w:rPr>
        <w:t xml:space="preserve">, so </w:t>
      </w:r>
      <w:r>
        <w:rPr>
          <w:i/>
          <w:iCs/>
          <w:sz w:val="21"/>
          <w:szCs w:val="21"/>
        </w:rPr>
        <w:t xml:space="preserve">n</w:t>
      </w:r>
      <w:r>
        <w:rPr>
          <w:sz w:val="21"/>
          <w:szCs w:val="21"/>
        </w:rPr>
        <w:t xml:space="preserve"> ≥ 10 is required for the table to resolve P5.</w:t>
      </w:r>
    </w:p>
    <w:p>
      <w:pPr>
        <w:spacing w:after="120" w:before="60"/>
        <w:jc w:val="left"/>
      </w:pPr>
      <w:r>
        <w:rPr>
          <w:b/>
          <w:bCs/>
          <w:sz w:val="21"/>
          <w:szCs w:val="21"/>
        </w:rPr>
        <w:t xml:space="preserve">RQUANT</w:t>
      </w:r>
      <w:r>
        <w:rPr>
          <w:sz w:val="21"/>
          <w:szCs w:val="21"/>
        </w:rPr>
        <w:t xml:space="preserve"> — non-parametric. The same 99-node table as QUANT, with each node value smoothed against its neighbours by local linear regression applied to the residual from the linear fit. The smoothing window spans between 3 and 65 of the 99 nodes; at the widest setting the smoother is close to global. From the authors' </w:t>
      </w:r>
      <w:r>
        <w:rPr>
          <w:rFonts w:ascii="Consolas" w:cs="Consolas" w:eastAsia="Consolas" w:hAnsi="Consolas"/>
          <w:sz w:val="19"/>
          <w:szCs w:val="19"/>
        </w:rPr>
        <w:t xml:space="preserve">qmap</w:t>
      </w:r>
      <w:r>
        <w:rPr>
          <w:sz w:val="21"/>
          <w:szCs w:val="21"/>
        </w:rPr>
        <w:t xml:space="preserve"> R package rather than the 2012 paper.</w:t>
      </w:r>
    </w:p>
    <w:p>
      <w:pPr>
        <w:spacing w:after="120" w:before="60"/>
        <w:jc w:val="left"/>
      </w:pPr>
      <w:r>
        <w:rPr>
          <w:b/>
          <w:bCs/>
          <w:sz w:val="21"/>
          <w:szCs w:val="21"/>
        </w:rPr>
        <w:t xml:space="preserve">SSPLIN</w:t>
      </w:r>
      <w:r>
        <w:rPr>
          <w:sz w:val="21"/>
          <w:szCs w:val="21"/>
        </w:rPr>
        <w:t xml:space="preserve"> — non-parametric. A cubic smoothing spline through the q–q relation, minimising </w:t>
      </w:r>
      <w:r>
        <w:rPr>
          <w:rFonts w:ascii="Consolas" w:cs="Consolas" w:eastAsia="Consolas" w:hAnsi="Consolas"/>
          <w:sz w:val="19"/>
          <w:szCs w:val="19"/>
        </w:rPr>
        <w:t xml:space="preserve">Σ(y − f(x))² + λ∫f″²</w:t>
      </w:r>
      <w:r>
        <w:rPr>
          <w:sz w:val="21"/>
          <w:szCs w:val="21"/>
        </w:rPr>
        <w:t xml:space="preserve">. λ ∈ {0.01, …, 100}.</w:t>
      </w:r>
    </w:p>
    <w:p>
      <w:pPr>
        <w:spacing w:after="120" w:before="60"/>
        <w:jc w:val="left"/>
      </w:pPr>
      <w:r>
        <w:rPr>
          <w:b/>
          <w:bCs/>
          <w:sz w:val="21"/>
          <w:szCs w:val="21"/>
        </w:rPr>
        <w:t xml:space="preserve">No correction</w:t>
      </w:r>
      <w:r>
        <w:rPr>
          <w:sz w:val="21"/>
          <w:szCs w:val="21"/>
        </w:rPr>
        <w:t xml:space="preserve"> — </w:t>
      </w:r>
      <w:r>
        <w:rPr>
          <w:rFonts w:ascii="Consolas" w:cs="Consolas" w:eastAsia="Consolas" w:hAnsi="Consolas"/>
          <w:sz w:val="19"/>
          <w:szCs w:val="19"/>
        </w:rPr>
        <w:t xml:space="preserve">ŷ = x</w:t>
      </w:r>
      <w:r>
        <w:rPr>
          <w:sz w:val="21"/>
          <w:szCs w:val="21"/>
        </w:rPr>
        <w:t xml:space="preserve">, the uncorrected bilinear field, carried through the same evaluation.</w:t>
      </w:r>
    </w:p>
    <w:p>
      <w:pPr>
        <w:pStyle w:val="Heading3"/>
        <w:spacing w:after="120" w:before="260"/>
        <w:outlineLvl w:val="3"/>
      </w:pPr>
      <w:r>
        <w:t xml:space="preserve">Unit of fitting</w:t>
      </w:r>
    </w:p>
    <w:p>
      <w:pPr>
        <w:spacing w:after="120" w:before="60"/>
        <w:jc w:val="left"/>
      </w:pPr>
      <w:r>
        <w:rPr>
          <w:sz w:val="21"/>
          <w:szCs w:val="21"/>
        </w:rPr>
        <w:t xml:space="preserve">One transform is fitted per </w:t>
      </w:r>
      <w:r>
        <w:rPr>
          <w:b/>
          <w:bCs/>
          <w:sz w:val="21"/>
          <w:szCs w:val="21"/>
        </w:rPr>
        <w:t xml:space="preserve">(land pixel, season)</w:t>
      </w:r>
      <w:r>
        <w:rPr>
          <w:sz w:val="21"/>
          <w:szCs w:val="21"/>
        </w:rPr>
        <w:t xml:space="preserve"> on the pooled daily values of the training years, 720 to 828 days. All five percentiles are read off that single transform, so percentile is an evaluation dimension and not a model dimension. A single increasing </w:t>
      </w:r>
      <w:r>
        <w:rPr>
          <w:rFonts w:ascii="Consolas" w:cs="Consolas" w:eastAsia="Consolas" w:hAnsi="Consolas"/>
          <w:sz w:val="19"/>
          <w:szCs w:val="19"/>
        </w:rPr>
        <w:t xml:space="preserve">h</w:t>
      </w:r>
      <w:r>
        <w:rPr>
          <w:sz w:val="21"/>
          <w:szCs w:val="21"/>
        </w:rPr>
        <w:t xml:space="preserve"> keeps the corrected percentiles in order, and a per-percentile model would have only ten training points.</w:t>
      </w:r>
    </w:p>
    <w:p>
      <w:pPr>
        <w:spacing w:after="120" w:before="60"/>
        <w:jc w:val="left"/>
      </w:pPr>
      <w:r>
        <w:rPr>
          <w:sz w:val="21"/>
          <w:szCs w:val="21"/>
        </w:rPr>
        <w:t xml:space="preserve">The correction is applied to the daily modelled values of the held-out season, and percentiles are taken of the corrected set. Applying </w:t>
      </w:r>
      <w:r>
        <w:rPr>
          <w:rFonts w:ascii="Consolas" w:cs="Consolas" w:eastAsia="Consolas" w:hAnsi="Consolas"/>
          <w:sz w:val="19"/>
          <w:szCs w:val="19"/>
        </w:rPr>
        <w:t xml:space="preserve">h</w:t>
      </w:r>
      <w:r>
        <w:rPr>
          <w:sz w:val="21"/>
          <w:szCs w:val="21"/>
        </w:rPr>
        <w:t xml:space="preserve"> to the percentile directly gives the same answer only when </w:t>
      </w:r>
      <w:r>
        <w:rPr>
          <w:rFonts w:ascii="Consolas" w:cs="Consolas" w:eastAsia="Consolas" w:hAnsi="Consolas"/>
          <w:sz w:val="19"/>
          <w:szCs w:val="19"/>
        </w:rPr>
        <w:t xml:space="preserve">h</w:t>
      </w:r>
      <w:r>
        <w:rPr>
          <w:sz w:val="21"/>
          <w:szCs w:val="21"/>
        </w:rPr>
        <w:t xml:space="preserve"> is affine or when quantiles are raw order statistics; under the interpolating quantile estimator used here the two routes differ by up to 0.39 °C for QUANT.</w:t>
      </w:r>
    </w:p>
    <w:p>
      <w:pPr>
        <w:spacing w:after="120" w:before="60"/>
        <w:jc w:val="left"/>
      </w:pPr>
      <w:r>
        <w:rPr>
          <w:sz w:val="21"/>
          <w:szCs w:val="21"/>
        </w:rPr>
        <w:t xml:space="preserve">Values outside the training range receive the constant correction of Boé et al. (2007): the offset found at the nearest fitted end is carried outward. This is applied to every method.</w:t>
      </w:r>
    </w:p>
    <w:p>
      <w:pPr>
        <w:pStyle w:val="Heading3"/>
        <w:spacing w:after="120" w:before="260"/>
        <w:outlineLvl w:val="3"/>
      </w:pPr>
      <w:r>
        <w:t xml:space="preserve">Cross-validation</w:t>
      </w:r>
    </w:p>
    <w:p>
      <w:pPr>
        <w:spacing w:after="120" w:before="60"/>
        <w:jc w:val="left"/>
      </w:pPr>
      <w:r>
        <w:rPr>
          <w:sz w:val="21"/>
          <w:szCs w:val="21"/>
        </w:rPr>
        <w:t xml:space="preserve">Leave-one-season-year-out. For each season one season-year is held out, the transform is fitted on the remaining years, and the corrected percentiles of the held-out year are compared with the observed ones.</w:t>
      </w:r>
    </w:p>
    <w:p>
      <w:pPr>
        <w:spacing w:after="120" w:before="60"/>
        <w:jc w:val="left"/>
      </w:pPr>
      <w:r>
        <w:rPr>
          <w:sz w:val="21"/>
          <w:szCs w:val="21"/>
        </w:rPr>
        <w:t xml:space="preserve">Grouping by season-year means holding out </w:t>
      </w:r>
      <w:r>
        <w:rPr>
          <w:rFonts w:ascii="Consolas" w:cs="Consolas" w:eastAsia="Consolas" w:hAnsi="Consolas"/>
          <w:sz w:val="19"/>
          <w:szCs w:val="19"/>
        </w:rPr>
        <w:t xml:space="preserve">1991-DJF</w:t>
      </w:r>
      <w:r>
        <w:rPr>
          <w:sz w:val="21"/>
          <w:szCs w:val="21"/>
        </w:rPr>
        <w:t xml:space="preserve"> also removes December 1990, so no fold crosses the calendar-year boundary.</w:t>
      </w:r>
    </w:p>
    <w:p>
      <w:pPr>
        <w:spacing w:after="120" w:before="60"/>
        <w:jc w:val="left"/>
      </w:pPr>
      <w:r>
        <w:rPr>
          <w:sz w:val="21"/>
          <w:szCs w:val="21"/>
        </w:rPr>
        <w:t xml:space="preserve">A complete DJF requires a December from the preceding calendar year, so January–February 1990 and December 1999 are dropped.</w:t>
      </w:r>
    </w:p>
    <w:tbl>
      <w:tblPr>
        <w:tblW w:type="dxa" w:w="10080"/>
        <w:tblBorders>
          <w:top w:val="single" w:color="D5DBDE" w:sz="2"/>
          <w:left w:val="single" w:color="D5DBDE" w:sz="2"/>
          <w:bottom w:val="single" w:color="D5DBDE" w:sz="2"/>
          <w:right w:val="single" w:color="D5DBDE" w:sz="2"/>
          <w:insideH w:val="single" w:color="D5DBDE" w:sz="2"/>
          <w:insideV w:val="single" w:color="D5DBDE" w:sz="2"/>
        </w:tblBorders>
      </w:tblPr>
      <w:tblGrid>
        <w:gridCol w:w="2016"/>
        <w:gridCol w:w="2016"/>
        <w:gridCol w:w="2016"/>
        <w:gridCol w:w="2016"/>
        <w:gridCol w:w="2016"/>
      </w:tblGrid>
      <w:tr>
        <w:trPr>
          <w:tblHeader/>
        </w:trPr>
        <w:tc>
          <w:tcPr>
            <w:tcW w:type="dxa" w:w="2016"/>
            <w:shd w:fill="F2F4F5" w:color="auto" w:val="clear"/>
            <w:tcMar>
              <w:top w:type="dxa" w:w="60"/>
              <w:left w:type="dxa" w:w="110"/>
              <w:bottom w:type="dxa" w:w="60"/>
              <w:right w:type="dxa" w:w="110"/>
            </w:tcMar>
          </w:tcPr>
          <w:p>
            <w:pPr>
              <w:spacing w:after="0" w:before="0"/>
              <w:jc w:val="left"/>
            </w:pPr>
            <w:r>
              <w:rPr>
                <w:b/>
                <w:bCs/>
                <w:sz w:val="19"/>
                <w:szCs w:val="19"/>
              </w:rPr>
              <w:t xml:space="preserve">Season</w:t>
            </w:r>
          </w:p>
        </w:tc>
        <w:tc>
          <w:tcPr>
            <w:tcW w:type="dxa" w:w="2016"/>
            <w:shd w:fill="F2F4F5" w:color="auto" w:val="clear"/>
            <w:tcMar>
              <w:top w:type="dxa" w:w="60"/>
              <w:left w:type="dxa" w:w="110"/>
              <w:bottom w:type="dxa" w:w="60"/>
              <w:right w:type="dxa" w:w="110"/>
            </w:tcMar>
          </w:tcPr>
          <w:p>
            <w:pPr>
              <w:spacing w:after="0" w:before="0"/>
              <w:jc w:val="left"/>
            </w:pPr>
            <w:r>
              <w:rPr>
                <w:b/>
                <w:bCs/>
                <w:sz w:val="19"/>
                <w:szCs w:val="19"/>
              </w:rPr>
              <w:t xml:space="preserve">Months</w:t>
            </w:r>
          </w:p>
        </w:tc>
        <w:tc>
          <w:tcPr>
            <w:tcW w:type="dxa" w:w="2016"/>
            <w:shd w:fill="F2F4F5" w:color="auto" w:val="clear"/>
            <w:tcMar>
              <w:top w:type="dxa" w:w="60"/>
              <w:left w:type="dxa" w:w="110"/>
              <w:bottom w:type="dxa" w:w="60"/>
              <w:right w:type="dxa" w:w="110"/>
            </w:tcMar>
          </w:tcPr>
          <w:p>
            <w:pPr>
              <w:spacing w:after="0" w:before="0"/>
              <w:jc w:val="left"/>
            </w:pPr>
            <w:r>
              <w:rPr>
                <w:b/>
                <w:bCs/>
                <w:sz w:val="19"/>
                <w:szCs w:val="19"/>
              </w:rPr>
              <w:t xml:space="preserve">Folds</w:t>
            </w:r>
          </w:p>
        </w:tc>
        <w:tc>
          <w:tcPr>
            <w:tcW w:type="dxa" w:w="2016"/>
            <w:shd w:fill="F2F4F5" w:color="auto" w:val="clear"/>
            <w:tcMar>
              <w:top w:type="dxa" w:w="60"/>
              <w:left w:type="dxa" w:w="110"/>
              <w:bottom w:type="dxa" w:w="60"/>
              <w:right w:type="dxa" w:w="110"/>
            </w:tcMar>
          </w:tcPr>
          <w:p>
            <w:pPr>
              <w:spacing w:after="0" w:before="0"/>
              <w:jc w:val="left"/>
            </w:pPr>
            <w:r>
              <w:rPr>
                <w:b/>
                <w:bCs/>
                <w:sz w:val="19"/>
                <w:szCs w:val="19"/>
              </w:rPr>
              <w:t xml:space="preserve">Days per season</w:t>
            </w:r>
          </w:p>
        </w:tc>
        <w:tc>
          <w:tcPr>
            <w:tcW w:type="dxa" w:w="2016"/>
            <w:shd w:fill="F2F4F5" w:color="auto" w:val="clear"/>
            <w:tcMar>
              <w:top w:type="dxa" w:w="60"/>
              <w:left w:type="dxa" w:w="110"/>
              <w:bottom w:type="dxa" w:w="60"/>
              <w:right w:type="dxa" w:w="110"/>
            </w:tcMar>
          </w:tcPr>
          <w:p>
            <w:pPr>
              <w:spacing w:after="0" w:before="0"/>
              <w:jc w:val="left"/>
            </w:pPr>
            <w:r>
              <w:rPr>
                <w:b/>
                <w:bCs/>
                <w:sz w:val="19"/>
                <w:szCs w:val="19"/>
              </w:rPr>
              <w:t xml:space="preserve">Training days per fold</w:t>
            </w:r>
          </w:p>
        </w:tc>
      </w:tr>
      <w:tr>
        <w:trPr>
          <w:tblHeader w:val="false"/>
        </w:trPr>
        <w:tc>
          <w:tcPr>
            <w:tcW w:type="dxa" w:w="2016"/>
            <w:tcMar>
              <w:top w:type="dxa" w:w="60"/>
              <w:left w:type="dxa" w:w="110"/>
              <w:bottom w:type="dxa" w:w="60"/>
              <w:right w:type="dxa" w:w="110"/>
            </w:tcMar>
          </w:tcPr>
          <w:p>
            <w:pPr>
              <w:spacing w:after="0" w:before="0"/>
              <w:jc w:val="left"/>
            </w:pPr>
            <w:r>
              <w:rPr>
                <w:sz w:val="19"/>
                <w:szCs w:val="19"/>
              </w:rPr>
              <w:t xml:space="preserve">DJF</w:t>
            </w:r>
          </w:p>
        </w:tc>
        <w:tc>
          <w:tcPr>
            <w:tcW w:type="dxa" w:w="2016"/>
            <w:tcMar>
              <w:top w:type="dxa" w:w="60"/>
              <w:left w:type="dxa" w:w="110"/>
              <w:bottom w:type="dxa" w:w="60"/>
              <w:right w:type="dxa" w:w="110"/>
            </w:tcMar>
          </w:tcPr>
          <w:p>
            <w:pPr>
              <w:spacing w:after="0" w:before="0"/>
              <w:jc w:val="left"/>
            </w:pPr>
            <w:r>
              <w:rPr>
                <w:sz w:val="19"/>
                <w:szCs w:val="19"/>
              </w:rPr>
              <w:t xml:space="preserve">Dec–Feb</w:t>
            </w:r>
          </w:p>
        </w:tc>
        <w:tc>
          <w:tcPr>
            <w:tcW w:type="dxa" w:w="2016"/>
            <w:tcMar>
              <w:top w:type="dxa" w:w="60"/>
              <w:left w:type="dxa" w:w="110"/>
              <w:bottom w:type="dxa" w:w="60"/>
              <w:right w:type="dxa" w:w="110"/>
            </w:tcMar>
          </w:tcPr>
          <w:p>
            <w:pPr>
              <w:spacing w:after="0" w:before="0"/>
              <w:jc w:val="right"/>
            </w:pPr>
            <w:r>
              <w:rPr>
                <w:sz w:val="19"/>
                <w:szCs w:val="19"/>
              </w:rPr>
              <w:t xml:space="preserve">9</w:t>
            </w:r>
          </w:p>
        </w:tc>
        <w:tc>
          <w:tcPr>
            <w:tcW w:type="dxa" w:w="2016"/>
            <w:tcMar>
              <w:top w:type="dxa" w:w="60"/>
              <w:left w:type="dxa" w:w="110"/>
              <w:bottom w:type="dxa" w:w="60"/>
              <w:right w:type="dxa" w:w="110"/>
            </w:tcMar>
          </w:tcPr>
          <w:p>
            <w:pPr>
              <w:spacing w:after="0" w:before="0"/>
              <w:jc w:val="right"/>
            </w:pPr>
            <w:r>
              <w:rPr>
                <w:sz w:val="19"/>
                <w:szCs w:val="19"/>
              </w:rPr>
              <w:t xml:space="preserve">90</w:t>
            </w:r>
          </w:p>
        </w:tc>
        <w:tc>
          <w:tcPr>
            <w:tcW w:type="dxa" w:w="2016"/>
            <w:tcMar>
              <w:top w:type="dxa" w:w="60"/>
              <w:left w:type="dxa" w:w="110"/>
              <w:bottom w:type="dxa" w:w="60"/>
              <w:right w:type="dxa" w:w="110"/>
            </w:tcMar>
          </w:tcPr>
          <w:p>
            <w:pPr>
              <w:spacing w:after="0" w:before="0"/>
              <w:jc w:val="right"/>
            </w:pPr>
            <w:r>
              <w:rPr>
                <w:sz w:val="19"/>
                <w:szCs w:val="19"/>
              </w:rPr>
              <w:t xml:space="preserve">720</w:t>
            </w:r>
          </w:p>
        </w:tc>
      </w:tr>
      <w:tr>
        <w:trPr>
          <w:tblHeader w:val="false"/>
        </w:trPr>
        <w:tc>
          <w:tcPr>
            <w:tcW w:type="dxa" w:w="2016"/>
            <w:tcMar>
              <w:top w:type="dxa" w:w="60"/>
              <w:left w:type="dxa" w:w="110"/>
              <w:bottom w:type="dxa" w:w="60"/>
              <w:right w:type="dxa" w:w="110"/>
            </w:tcMar>
          </w:tcPr>
          <w:p>
            <w:pPr>
              <w:spacing w:after="0" w:before="0"/>
              <w:jc w:val="left"/>
            </w:pPr>
            <w:r>
              <w:rPr>
                <w:sz w:val="19"/>
                <w:szCs w:val="19"/>
              </w:rPr>
              <w:t xml:space="preserve">MAM</w:t>
            </w:r>
          </w:p>
        </w:tc>
        <w:tc>
          <w:tcPr>
            <w:tcW w:type="dxa" w:w="2016"/>
            <w:tcMar>
              <w:top w:type="dxa" w:w="60"/>
              <w:left w:type="dxa" w:w="110"/>
              <w:bottom w:type="dxa" w:w="60"/>
              <w:right w:type="dxa" w:w="110"/>
            </w:tcMar>
          </w:tcPr>
          <w:p>
            <w:pPr>
              <w:spacing w:after="0" w:before="0"/>
              <w:jc w:val="left"/>
            </w:pPr>
            <w:r>
              <w:rPr>
                <w:sz w:val="19"/>
                <w:szCs w:val="19"/>
              </w:rPr>
              <w:t xml:space="preserve">Mar–May</w:t>
            </w:r>
          </w:p>
        </w:tc>
        <w:tc>
          <w:tcPr>
            <w:tcW w:type="dxa" w:w="2016"/>
            <w:tcMar>
              <w:top w:type="dxa" w:w="60"/>
              <w:left w:type="dxa" w:w="110"/>
              <w:bottom w:type="dxa" w:w="60"/>
              <w:right w:type="dxa" w:w="110"/>
            </w:tcMar>
          </w:tcPr>
          <w:p>
            <w:pPr>
              <w:spacing w:after="0" w:before="0"/>
              <w:jc w:val="right"/>
            </w:pPr>
            <w:r>
              <w:rPr>
                <w:sz w:val="19"/>
                <w:szCs w:val="19"/>
              </w:rPr>
              <w:t xml:space="preserve">10</w:t>
            </w:r>
          </w:p>
        </w:tc>
        <w:tc>
          <w:tcPr>
            <w:tcW w:type="dxa" w:w="2016"/>
            <w:tcMar>
              <w:top w:type="dxa" w:w="60"/>
              <w:left w:type="dxa" w:w="110"/>
              <w:bottom w:type="dxa" w:w="60"/>
              <w:right w:type="dxa" w:w="110"/>
            </w:tcMar>
          </w:tcPr>
          <w:p>
            <w:pPr>
              <w:spacing w:after="0" w:before="0"/>
              <w:jc w:val="right"/>
            </w:pPr>
            <w:r>
              <w:rPr>
                <w:sz w:val="19"/>
                <w:szCs w:val="19"/>
              </w:rPr>
              <w:t xml:space="preserve">92</w:t>
            </w:r>
          </w:p>
        </w:tc>
        <w:tc>
          <w:tcPr>
            <w:tcW w:type="dxa" w:w="2016"/>
            <w:tcMar>
              <w:top w:type="dxa" w:w="60"/>
              <w:left w:type="dxa" w:w="110"/>
              <w:bottom w:type="dxa" w:w="60"/>
              <w:right w:type="dxa" w:w="110"/>
            </w:tcMar>
          </w:tcPr>
          <w:p>
            <w:pPr>
              <w:spacing w:after="0" w:before="0"/>
              <w:jc w:val="right"/>
            </w:pPr>
            <w:r>
              <w:rPr>
                <w:sz w:val="19"/>
                <w:szCs w:val="19"/>
              </w:rPr>
              <w:t xml:space="preserve">828</w:t>
            </w:r>
          </w:p>
        </w:tc>
      </w:tr>
      <w:tr>
        <w:trPr>
          <w:tblHeader w:val="false"/>
        </w:trPr>
        <w:tc>
          <w:tcPr>
            <w:tcW w:type="dxa" w:w="2016"/>
            <w:tcMar>
              <w:top w:type="dxa" w:w="60"/>
              <w:left w:type="dxa" w:w="110"/>
              <w:bottom w:type="dxa" w:w="60"/>
              <w:right w:type="dxa" w:w="110"/>
            </w:tcMar>
          </w:tcPr>
          <w:p>
            <w:pPr>
              <w:spacing w:after="0" w:before="0"/>
              <w:jc w:val="left"/>
            </w:pPr>
            <w:r>
              <w:rPr>
                <w:sz w:val="19"/>
                <w:szCs w:val="19"/>
              </w:rPr>
              <w:t xml:space="preserve">JJA</w:t>
            </w:r>
          </w:p>
        </w:tc>
        <w:tc>
          <w:tcPr>
            <w:tcW w:type="dxa" w:w="2016"/>
            <w:tcMar>
              <w:top w:type="dxa" w:w="60"/>
              <w:left w:type="dxa" w:w="110"/>
              <w:bottom w:type="dxa" w:w="60"/>
              <w:right w:type="dxa" w:w="110"/>
            </w:tcMar>
          </w:tcPr>
          <w:p>
            <w:pPr>
              <w:spacing w:after="0" w:before="0"/>
              <w:jc w:val="left"/>
            </w:pPr>
            <w:r>
              <w:rPr>
                <w:sz w:val="19"/>
                <w:szCs w:val="19"/>
              </w:rPr>
              <w:t xml:space="preserve">Jun–Aug</w:t>
            </w:r>
          </w:p>
        </w:tc>
        <w:tc>
          <w:tcPr>
            <w:tcW w:type="dxa" w:w="2016"/>
            <w:tcMar>
              <w:top w:type="dxa" w:w="60"/>
              <w:left w:type="dxa" w:w="110"/>
              <w:bottom w:type="dxa" w:w="60"/>
              <w:right w:type="dxa" w:w="110"/>
            </w:tcMar>
          </w:tcPr>
          <w:p>
            <w:pPr>
              <w:spacing w:after="0" w:before="0"/>
              <w:jc w:val="right"/>
            </w:pPr>
            <w:r>
              <w:rPr>
                <w:sz w:val="19"/>
                <w:szCs w:val="19"/>
              </w:rPr>
              <w:t xml:space="preserve">10</w:t>
            </w:r>
          </w:p>
        </w:tc>
        <w:tc>
          <w:tcPr>
            <w:tcW w:type="dxa" w:w="2016"/>
            <w:tcMar>
              <w:top w:type="dxa" w:w="60"/>
              <w:left w:type="dxa" w:w="110"/>
              <w:bottom w:type="dxa" w:w="60"/>
              <w:right w:type="dxa" w:w="110"/>
            </w:tcMar>
          </w:tcPr>
          <w:p>
            <w:pPr>
              <w:spacing w:after="0" w:before="0"/>
              <w:jc w:val="right"/>
            </w:pPr>
            <w:r>
              <w:rPr>
                <w:sz w:val="19"/>
                <w:szCs w:val="19"/>
              </w:rPr>
              <w:t xml:space="preserve">92</w:t>
            </w:r>
          </w:p>
        </w:tc>
        <w:tc>
          <w:tcPr>
            <w:tcW w:type="dxa" w:w="2016"/>
            <w:tcMar>
              <w:top w:type="dxa" w:w="60"/>
              <w:left w:type="dxa" w:w="110"/>
              <w:bottom w:type="dxa" w:w="60"/>
              <w:right w:type="dxa" w:w="110"/>
            </w:tcMar>
          </w:tcPr>
          <w:p>
            <w:pPr>
              <w:spacing w:after="0" w:before="0"/>
              <w:jc w:val="right"/>
            </w:pPr>
            <w:r>
              <w:rPr>
                <w:sz w:val="19"/>
                <w:szCs w:val="19"/>
              </w:rPr>
              <w:t xml:space="preserve">828</w:t>
            </w:r>
          </w:p>
        </w:tc>
      </w:tr>
      <w:tr>
        <w:trPr>
          <w:tblHeader w:val="false"/>
        </w:trPr>
        <w:tc>
          <w:tcPr>
            <w:tcW w:type="dxa" w:w="2016"/>
            <w:tcMar>
              <w:top w:type="dxa" w:w="60"/>
              <w:left w:type="dxa" w:w="110"/>
              <w:bottom w:type="dxa" w:w="60"/>
              <w:right w:type="dxa" w:w="110"/>
            </w:tcMar>
          </w:tcPr>
          <w:p>
            <w:pPr>
              <w:spacing w:after="0" w:before="0"/>
              <w:jc w:val="left"/>
            </w:pPr>
            <w:r>
              <w:rPr>
                <w:sz w:val="19"/>
                <w:szCs w:val="19"/>
              </w:rPr>
              <w:t xml:space="preserve">SON</w:t>
            </w:r>
          </w:p>
        </w:tc>
        <w:tc>
          <w:tcPr>
            <w:tcW w:type="dxa" w:w="2016"/>
            <w:tcMar>
              <w:top w:type="dxa" w:w="60"/>
              <w:left w:type="dxa" w:w="110"/>
              <w:bottom w:type="dxa" w:w="60"/>
              <w:right w:type="dxa" w:w="110"/>
            </w:tcMar>
          </w:tcPr>
          <w:p>
            <w:pPr>
              <w:spacing w:after="0" w:before="0"/>
              <w:jc w:val="left"/>
            </w:pPr>
            <w:r>
              <w:rPr>
                <w:sz w:val="19"/>
                <w:szCs w:val="19"/>
              </w:rPr>
              <w:t xml:space="preserve">Sep–Nov</w:t>
            </w:r>
          </w:p>
        </w:tc>
        <w:tc>
          <w:tcPr>
            <w:tcW w:type="dxa" w:w="2016"/>
            <w:tcMar>
              <w:top w:type="dxa" w:w="60"/>
              <w:left w:type="dxa" w:w="110"/>
              <w:bottom w:type="dxa" w:w="60"/>
              <w:right w:type="dxa" w:w="110"/>
            </w:tcMar>
          </w:tcPr>
          <w:p>
            <w:pPr>
              <w:spacing w:after="0" w:before="0"/>
              <w:jc w:val="right"/>
            </w:pPr>
            <w:r>
              <w:rPr>
                <w:sz w:val="19"/>
                <w:szCs w:val="19"/>
              </w:rPr>
              <w:t xml:space="preserve">10</w:t>
            </w:r>
          </w:p>
        </w:tc>
        <w:tc>
          <w:tcPr>
            <w:tcW w:type="dxa" w:w="2016"/>
            <w:tcMar>
              <w:top w:type="dxa" w:w="60"/>
              <w:left w:type="dxa" w:w="110"/>
              <w:bottom w:type="dxa" w:w="60"/>
              <w:right w:type="dxa" w:w="110"/>
            </w:tcMar>
          </w:tcPr>
          <w:p>
            <w:pPr>
              <w:spacing w:after="0" w:before="0"/>
              <w:jc w:val="right"/>
            </w:pPr>
            <w:r>
              <w:rPr>
                <w:sz w:val="19"/>
                <w:szCs w:val="19"/>
              </w:rPr>
              <w:t xml:space="preserve">91</w:t>
            </w:r>
          </w:p>
        </w:tc>
        <w:tc>
          <w:tcPr>
            <w:tcW w:type="dxa" w:w="2016"/>
            <w:tcMar>
              <w:top w:type="dxa" w:w="60"/>
              <w:left w:type="dxa" w:w="110"/>
              <w:bottom w:type="dxa" w:w="60"/>
              <w:right w:type="dxa" w:w="110"/>
            </w:tcMar>
          </w:tcPr>
          <w:p>
            <w:pPr>
              <w:spacing w:after="0" w:before="0"/>
              <w:jc w:val="right"/>
            </w:pPr>
            <w:r>
              <w:rPr>
                <w:sz w:val="19"/>
                <w:szCs w:val="19"/>
              </w:rPr>
              <w:t xml:space="preserve">819</w:t>
            </w:r>
          </w:p>
        </w:tc>
      </w:tr>
    </w:tbl>
    <w:p>
      <w:pPr>
        <w:spacing w:after="100"/>
      </w:pPr>
    </w:p>
    <w:p>
      <w:pPr>
        <w:spacing w:after="200" w:before="60"/>
      </w:pPr>
      <w:r>
        <w:rPr>
          <w:b/>
          <w:bCs/>
          <w:color w:val="5A6A73"/>
          <w:sz w:val="18"/>
          <w:szCs w:val="18"/>
        </w:rPr>
        <w:t xml:space="preserve">Table 1.</w:t>
      </w:r>
      <w:r>
        <w:rPr>
          <w:color w:val="5A6A73"/>
          <w:sz w:val="18"/>
          <w:szCs w:val="18"/>
        </w:rPr>
        <w:t xml:space="preserve"> Cross-validation folds per season.</w:t>
      </w:r>
    </w:p>
    <w:p>
      <w:pPr>
        <w:spacing w:after="120" w:before="60"/>
        <w:jc w:val="left"/>
      </w:pPr>
      <w:r>
        <w:rPr>
          <w:sz w:val="21"/>
          <w:szCs w:val="21"/>
        </w:rPr>
        <w:t xml:space="preserve">Hyper-parameters are selected by an inner leave-one-season-year-out pass over a 400-pixel sample, giving one value per (method, season).</w:t>
      </w:r>
    </w:p>
    <w:p>
      <w:pPr>
        <w:pStyle w:val="Heading2"/>
        <w:spacing w:after="120" w:before="260"/>
        <w:outlineLvl w:val="2"/>
      </w:pPr>
      <w:r>
        <w:t xml:space="preserve">Evaluation metrics</w:t>
      </w:r>
    </w:p>
    <w:p>
      <w:pPr>
        <w:spacing w:after="120" w:before="60"/>
        <w:jc w:val="left"/>
      </w:pPr>
      <w:r>
        <w:rPr>
          <w:sz w:val="21"/>
          <w:szCs w:val="21"/>
        </w:rPr>
        <w:t xml:space="preserve">Four quantities are reported, all computed on held-out folds only.</w:t>
      </w:r>
    </w:p>
    <w:tbl>
      <w:tblPr>
        <w:tblW w:type="dxa" w:w="10080"/>
        <w:tblBorders>
          <w:top w:val="single" w:color="D5DBDE" w:sz="2"/>
          <w:left w:val="single" w:color="D5DBDE" w:sz="2"/>
          <w:bottom w:val="single" w:color="D5DBDE" w:sz="2"/>
          <w:right w:val="single" w:color="D5DBDE" w:sz="2"/>
          <w:insideH w:val="single" w:color="D5DBDE" w:sz="2"/>
          <w:insideV w:val="single" w:color="D5DBDE" w:sz="2"/>
        </w:tblBorders>
      </w:tblPr>
      <w:tblGrid>
        <w:gridCol w:w="3360"/>
        <w:gridCol w:w="3360"/>
        <w:gridCol w:w="3360"/>
      </w:tblGrid>
      <w:tr>
        <w:trPr>
          <w:tblHeader/>
        </w:trPr>
        <w:tc>
          <w:tcPr>
            <w:tcW w:type="dxa" w:w="3360"/>
            <w:shd w:fill="F2F4F5" w:color="auto" w:val="clear"/>
            <w:tcMar>
              <w:top w:type="dxa" w:w="60"/>
              <w:left w:type="dxa" w:w="110"/>
              <w:bottom w:type="dxa" w:w="60"/>
              <w:right w:type="dxa" w:w="110"/>
            </w:tcMar>
          </w:tcPr>
          <w:p>
            <w:pPr>
              <w:spacing w:after="0" w:before="0"/>
              <w:jc w:val="left"/>
            </w:pPr>
            <w:r>
              <w:rPr>
                <w:b/>
                <w:bCs/>
                <w:sz w:val="19"/>
                <w:szCs w:val="19"/>
              </w:rPr>
              <w:t xml:space="preserve"/>
            </w:r>
          </w:p>
        </w:tc>
        <w:tc>
          <w:tcPr>
            <w:tcW w:type="dxa" w:w="3360"/>
            <w:shd w:fill="F2F4F5" w:color="auto" w:val="clear"/>
            <w:tcMar>
              <w:top w:type="dxa" w:w="60"/>
              <w:left w:type="dxa" w:w="110"/>
              <w:bottom w:type="dxa" w:w="60"/>
              <w:right w:type="dxa" w:w="110"/>
            </w:tcMar>
          </w:tcPr>
          <w:p>
            <w:pPr>
              <w:spacing w:after="0" w:before="0"/>
              <w:jc w:val="left"/>
            </w:pPr>
            <w:r>
              <w:rPr>
                <w:b/>
                <w:bCs/>
                <w:sz w:val="19"/>
                <w:szCs w:val="19"/>
              </w:rPr>
              <w:t xml:space="preserve">Definition</w:t>
            </w:r>
          </w:p>
        </w:tc>
        <w:tc>
          <w:tcPr>
            <w:tcW w:type="dxa" w:w="3360"/>
            <w:shd w:fill="F2F4F5" w:color="auto" w:val="clear"/>
            <w:tcMar>
              <w:top w:type="dxa" w:w="60"/>
              <w:left w:type="dxa" w:w="110"/>
              <w:bottom w:type="dxa" w:w="60"/>
              <w:right w:type="dxa" w:w="110"/>
            </w:tcMar>
          </w:tcPr>
          <w:p>
            <w:pPr>
              <w:spacing w:after="0" w:before="0"/>
              <w:jc w:val="left"/>
            </w:pPr>
            <w:r>
              <w:rPr>
                <w:b/>
                <w:bCs/>
                <w:sz w:val="19"/>
                <w:szCs w:val="19"/>
              </w:rPr>
              <w:t xml:space="preserve">Reads as</w:t>
            </w:r>
          </w:p>
        </w:tc>
      </w:tr>
      <w:tr>
        <w:trPr>
          <w:tblHeader w:val="false"/>
        </w:trPr>
        <w:tc>
          <w:tcPr>
            <w:tcW w:type="dxa" w:w="3360"/>
            <w:tcMar>
              <w:top w:type="dxa" w:w="60"/>
              <w:left w:type="dxa" w:w="110"/>
              <w:bottom w:type="dxa" w:w="60"/>
              <w:right w:type="dxa" w:w="110"/>
            </w:tcMar>
          </w:tcPr>
          <w:p>
            <w:pPr>
              <w:spacing w:after="0" w:before="0"/>
              <w:jc w:val="left"/>
            </w:pPr>
            <w:r>
              <w:rPr>
                <w:b/>
                <w:bCs/>
                <w:sz w:val="19"/>
                <w:szCs w:val="19"/>
              </w:rPr>
              <w:t xml:space="preserve">Bias</w:t>
            </w:r>
          </w:p>
        </w:tc>
        <w:tc>
          <w:tcPr>
            <w:tcW w:type="dxa" w:w="3360"/>
            <w:tcMar>
              <w:top w:type="dxa" w:w="60"/>
              <w:left w:type="dxa" w:w="110"/>
              <w:bottom w:type="dxa" w:w="60"/>
              <w:right w:type="dxa" w:w="110"/>
            </w:tcMar>
          </w:tcPr>
          <w:p>
            <w:pPr>
              <w:spacing w:after="0" w:before="0"/>
              <w:jc w:val="left"/>
            </w:pPr>
            <w:r>
              <w:rPr>
                <w:sz w:val="19"/>
                <w:szCs w:val="19"/>
              </w:rPr>
              <w:t xml:space="preserve">mean signed error, prediction − observation</w:t>
            </w:r>
          </w:p>
        </w:tc>
        <w:tc>
          <w:tcPr>
            <w:tcW w:type="dxa" w:w="3360"/>
            <w:tcMar>
              <w:top w:type="dxa" w:w="60"/>
              <w:left w:type="dxa" w:w="110"/>
              <w:bottom w:type="dxa" w:w="60"/>
              <w:right w:type="dxa" w:w="110"/>
            </w:tcMar>
          </w:tcPr>
          <w:p>
            <w:pPr>
              <w:spacing w:after="0" w:before="0"/>
              <w:jc w:val="left"/>
            </w:pPr>
            <w:r>
              <w:rPr>
                <w:sz w:val="19"/>
                <w:szCs w:val="19"/>
              </w:rPr>
              <w:t xml:space="preserve">positive = too warm; near zero = no systematic offset</w:t>
            </w:r>
          </w:p>
        </w:tc>
      </w:tr>
      <w:tr>
        <w:trPr>
          <w:tblHeader w:val="false"/>
        </w:trPr>
        <w:tc>
          <w:tcPr>
            <w:tcW w:type="dxa" w:w="3360"/>
            <w:tcMar>
              <w:top w:type="dxa" w:w="60"/>
              <w:left w:type="dxa" w:w="110"/>
              <w:bottom w:type="dxa" w:w="60"/>
              <w:right w:type="dxa" w:w="110"/>
            </w:tcMar>
          </w:tcPr>
          <w:p>
            <w:pPr>
              <w:spacing w:after="0" w:before="0"/>
              <w:jc w:val="left"/>
            </w:pPr>
            <w:r>
              <w:rPr>
                <w:b/>
                <w:bCs/>
                <w:sz w:val="19"/>
                <w:szCs w:val="19"/>
              </w:rPr>
              <w:t xml:space="preserve">MAE</w:t>
            </w:r>
          </w:p>
        </w:tc>
        <w:tc>
          <w:tcPr>
            <w:tcW w:type="dxa" w:w="3360"/>
            <w:tcMar>
              <w:top w:type="dxa" w:w="60"/>
              <w:left w:type="dxa" w:w="110"/>
              <w:bottom w:type="dxa" w:w="60"/>
              <w:right w:type="dxa" w:w="110"/>
            </w:tcMar>
          </w:tcPr>
          <w:p>
            <w:pPr>
              <w:spacing w:after="0" w:before="0"/>
              <w:jc w:val="left"/>
            </w:pPr>
            <w:r>
              <w:rPr>
                <w:sz w:val="19"/>
                <w:szCs w:val="19"/>
              </w:rPr>
              <w:t xml:space="preserve">mean absolute error</w:t>
            </w:r>
          </w:p>
        </w:tc>
        <w:tc>
          <w:tcPr>
            <w:tcW w:type="dxa" w:w="3360"/>
            <w:tcMar>
              <w:top w:type="dxa" w:w="60"/>
              <w:left w:type="dxa" w:w="110"/>
              <w:bottom w:type="dxa" w:w="60"/>
              <w:right w:type="dxa" w:w="110"/>
            </w:tcMar>
          </w:tcPr>
          <w:p>
            <w:pPr>
              <w:spacing w:after="0" w:before="0"/>
              <w:jc w:val="left"/>
            </w:pPr>
            <w:r>
              <w:rPr>
                <w:sz w:val="19"/>
                <w:szCs w:val="19"/>
              </w:rPr>
              <w:t xml:space="preserve">typical size of the error, in °C</w:t>
            </w:r>
          </w:p>
        </w:tc>
      </w:tr>
      <w:tr>
        <w:trPr>
          <w:tblHeader w:val="false"/>
        </w:trPr>
        <w:tc>
          <w:tcPr>
            <w:tcW w:type="dxa" w:w="3360"/>
            <w:tcMar>
              <w:top w:type="dxa" w:w="60"/>
              <w:left w:type="dxa" w:w="110"/>
              <w:bottom w:type="dxa" w:w="60"/>
              <w:right w:type="dxa" w:w="110"/>
            </w:tcMar>
          </w:tcPr>
          <w:p>
            <w:pPr>
              <w:spacing w:after="0" w:before="0"/>
              <w:jc w:val="left"/>
            </w:pPr>
            <w:r>
              <w:rPr>
                <w:b/>
                <w:bCs/>
                <w:sz w:val="19"/>
                <w:szCs w:val="19"/>
              </w:rPr>
              <w:t xml:space="preserve">RMSE</w:t>
            </w:r>
          </w:p>
        </w:tc>
        <w:tc>
          <w:tcPr>
            <w:tcW w:type="dxa" w:w="3360"/>
            <w:tcMar>
              <w:top w:type="dxa" w:w="60"/>
              <w:left w:type="dxa" w:w="110"/>
              <w:bottom w:type="dxa" w:w="60"/>
              <w:right w:type="dxa" w:w="110"/>
            </w:tcMar>
          </w:tcPr>
          <w:p>
            <w:pPr>
              <w:spacing w:after="0" w:before="0"/>
              <w:jc w:val="left"/>
            </w:pPr>
            <w:r>
              <w:rPr>
                <w:sz w:val="19"/>
                <w:szCs w:val="19"/>
              </w:rPr>
              <w:t xml:space="preserve">root mean squared error</w:t>
            </w:r>
          </w:p>
        </w:tc>
        <w:tc>
          <w:tcPr>
            <w:tcW w:type="dxa" w:w="3360"/>
            <w:tcMar>
              <w:top w:type="dxa" w:w="60"/>
              <w:left w:type="dxa" w:w="110"/>
              <w:bottom w:type="dxa" w:w="60"/>
              <w:right w:type="dxa" w:w="110"/>
            </w:tcMar>
          </w:tcPr>
          <w:p>
            <w:pPr>
              <w:spacing w:after="0" w:before="0"/>
              <w:jc w:val="left"/>
            </w:pPr>
            <w:r>
              <w:rPr>
                <w:sz w:val="19"/>
                <w:szCs w:val="19"/>
              </w:rPr>
              <w:t xml:space="preserve">as MAE but weighted towards large errors</w:t>
            </w:r>
          </w:p>
        </w:tc>
      </w:tr>
      <w:tr>
        <w:trPr>
          <w:tblHeader w:val="false"/>
        </w:trPr>
        <w:tc>
          <w:tcPr>
            <w:tcW w:type="dxa" w:w="3360"/>
            <w:tcMar>
              <w:top w:type="dxa" w:w="60"/>
              <w:left w:type="dxa" w:w="110"/>
              <w:bottom w:type="dxa" w:w="60"/>
              <w:right w:type="dxa" w:w="110"/>
            </w:tcMar>
          </w:tcPr>
          <w:p>
            <w:pPr>
              <w:spacing w:after="0" w:before="0"/>
              <w:jc w:val="left"/>
            </w:pPr>
            <w:r>
              <w:rPr>
                <w:b/>
                <w:bCs/>
                <w:sz w:val="19"/>
                <w:szCs w:val="19"/>
              </w:rPr>
              <w:t xml:space="preserve">Climatology floor</w:t>
            </w:r>
          </w:p>
        </w:tc>
        <w:tc>
          <w:tcPr>
            <w:tcW w:type="dxa" w:w="3360"/>
            <w:tcMar>
              <w:top w:type="dxa" w:w="60"/>
              <w:left w:type="dxa" w:w="110"/>
              <w:bottom w:type="dxa" w:w="60"/>
              <w:right w:type="dxa" w:w="110"/>
            </w:tcMar>
          </w:tcPr>
          <w:p>
            <w:pPr>
              <w:spacing w:after="0" w:before="0"/>
              <w:jc w:val="left"/>
            </w:pPr>
            <w:r>
              <w:rPr>
                <w:sz w:val="19"/>
                <w:szCs w:val="19"/>
              </w:rPr>
              <w:t xml:space="preserve">error a climatology-only prediction achieves</w:t>
            </w:r>
          </w:p>
        </w:tc>
        <w:tc>
          <w:tcPr>
            <w:tcW w:type="dxa" w:w="3360"/>
            <w:tcMar>
              <w:top w:type="dxa" w:w="60"/>
              <w:left w:type="dxa" w:w="110"/>
              <w:bottom w:type="dxa" w:w="60"/>
              <w:right w:type="dxa" w:w="110"/>
            </w:tcMar>
          </w:tcPr>
          <w:p>
            <w:pPr>
              <w:spacing w:after="0" w:before="0"/>
              <w:jc w:val="left"/>
            </w:pPr>
            <w:r>
              <w:rPr>
                <w:sz w:val="19"/>
                <w:szCs w:val="19"/>
              </w:rPr>
              <w:t xml:space="preserve">the part of the error no correction can remove</w:t>
            </w:r>
          </w:p>
        </w:tc>
      </w:tr>
    </w:tbl>
    <w:p>
      <w:pPr>
        <w:spacing w:after="100"/>
      </w:pPr>
    </w:p>
    <w:p>
      <w:pPr>
        <w:spacing w:after="120" w:before="60"/>
        <w:jc w:val="left"/>
      </w:pPr>
      <w:r>
        <w:rPr>
          <w:sz w:val="21"/>
          <w:szCs w:val="21"/>
        </w:rPr>
        <w:t xml:space="preserve">The floor exists because CMIP6 is free-running: its year </w:t>
      </w:r>
      <w:r>
        <w:rPr>
          <w:i/>
          <w:iCs/>
          <w:sz w:val="21"/>
          <w:szCs w:val="21"/>
        </w:rPr>
        <w:t xml:space="preserve">k</w:t>
      </w:r>
      <w:r>
        <w:rPr>
          <w:sz w:val="21"/>
          <w:szCs w:val="21"/>
        </w:rPr>
        <w:t xml:space="preserve"> is not the observed year </w:t>
      </w:r>
      <w:r>
        <w:rPr>
          <w:i/>
          <w:iCs/>
          <w:sz w:val="21"/>
          <w:szCs w:val="21"/>
        </w:rPr>
        <w:t xml:space="preserve">k</w:t>
      </w:r>
      <w:r>
        <w:rPr>
          <w:sz w:val="21"/>
          <w:szCs w:val="21"/>
        </w:rPr>
        <w:t xml:space="preserve">, so the best any correction can do is predict the </w:t>
      </w:r>
      <w:r>
        <w:rPr>
          <w:b/>
          <w:bCs/>
          <w:sz w:val="21"/>
          <w:szCs w:val="21"/>
        </w:rPr>
        <w:t xml:space="preserve">climatological</w:t>
      </w:r>
      <w:r>
        <w:rPr>
          <w:sz w:val="21"/>
          <w:szCs w:val="21"/>
        </w:rPr>
        <w:t xml:space="preserve"> percentile. What remains is the year-to-year spread of the observation itself. Two versions are needed, because the median minimises absolute error and the mean minimises squared error:</w:t>
      </w:r>
    </w:p>
    <w:p>
      <w:pPr>
        <w:shd w:fill="F6F7F8" w:color="auto" w:val="clear"/>
        <w:spacing w:after="0" w:before="0"/>
        <w:ind w:left="240"/>
      </w:pPr>
      <w:r>
        <w:rPr>
          <w:rFonts w:ascii="Consolas" w:cs="Consolas" w:eastAsia="Consolas" w:hAnsi="Consolas"/>
          <w:sz w:val="18"/>
          <w:szCs w:val="18"/>
        </w:rPr>
        <w:t xml:space="preserve">MAE floor  = mean over years of | y_k − median_j(y_j) |</w:t>
      </w:r>
    </w:p>
    <w:p>
      <w:pPr>
        <w:shd w:fill="F6F7F8" w:color="auto" w:val="clear"/>
        <w:spacing w:after="0" w:before="0"/>
        <w:ind w:left="240"/>
      </w:pPr>
      <w:r>
        <w:rPr>
          <w:rFonts w:ascii="Consolas" w:cs="Consolas" w:eastAsia="Consolas" w:hAnsi="Consolas"/>
          <w:sz w:val="18"/>
          <w:szCs w:val="18"/>
        </w:rPr>
        <w:t xml:space="preserve">RMSE floor = standard deviation over years of y_k</w:t>
      </w:r>
    </w:p>
    <w:p>
      <w:pPr>
        <w:spacing w:after="120"/>
      </w:pPr>
    </w:p>
    <w:p>
      <w:pPr>
        <w:spacing w:after="120" w:before="60"/>
        <w:jc w:val="left"/>
      </w:pPr>
      <w:r>
        <w:rPr>
          <w:sz w:val="21"/>
          <w:szCs w:val="21"/>
        </w:rPr>
        <w:t xml:space="preserve">For a roughly normal sample the first is about 0.8 of the second, so an MAE must be compared against the MAE floor and an RMSE against the RMSE floor.</w:t>
      </w:r>
    </w:p>
    <w:p>
      <w:pPr>
        <w:pStyle w:val="Heading3"/>
        <w:spacing w:after="120" w:before="260"/>
        <w:outlineLvl w:val="3"/>
      </w:pPr>
      <w:r>
        <w:t xml:space="preserve">How the numbers are built</w:t>
      </w:r>
    </w:p>
    <w:p>
      <w:pPr>
        <w:spacing w:after="120" w:before="60"/>
        <w:jc w:val="left"/>
      </w:pPr>
      <w:r>
        <w:rPr>
          <w:sz w:val="21"/>
          <w:szCs w:val="21"/>
        </w:rPr>
        <w:t xml:space="preserve">One error compares one predicted percentile against one observed percentile, for one pixel in one held-out season-year:</w:t>
      </w:r>
    </w:p>
    <w:p>
      <w:pPr>
        <w:shd w:fill="F6F7F8" w:color="auto" w:val="clear"/>
        <w:spacing w:after="0" w:before="0"/>
        <w:ind w:left="240"/>
      </w:pPr>
      <w:r>
        <w:rPr>
          <w:rFonts w:ascii="Consolas" w:cs="Consolas" w:eastAsia="Consolas" w:hAnsi="Consolas"/>
          <w:sz w:val="18"/>
          <w:szCs w:val="18"/>
        </w:rPr>
        <w:t xml:space="preserve">ŷ = the q-th percentile of the CORRECTED daily values of season s, year k, pixel p</w:t>
      </w:r>
    </w:p>
    <w:p>
      <w:pPr>
        <w:shd w:fill="F6F7F8" w:color="auto" w:val="clear"/>
        <w:spacing w:after="0" w:before="0"/>
        <w:ind w:left="240"/>
      </w:pPr>
      <w:r>
        <w:rPr>
          <w:rFonts w:ascii="Consolas" w:cs="Consolas" w:eastAsia="Consolas" w:hAnsi="Consolas"/>
          <w:sz w:val="18"/>
          <w:szCs w:val="18"/>
        </w:rPr>
        <w:t xml:space="preserve">y = the q-th percentile of the OBSERVED daily values, same season, year and pixel</w:t>
      </w:r>
    </w:p>
    <w:p>
      <w:pPr>
        <w:shd w:fill="F6F7F8" w:color="auto" w:val="clear"/>
        <w:spacing w:after="0" w:before="0"/>
        <w:ind w:left="240"/>
      </w:pPr>
      <w:r>
        <w:rPr>
          <w:rFonts w:ascii="Consolas" w:cs="Consolas" w:eastAsia="Consolas" w:hAnsi="Consolas"/>
          <w:sz w:val="18"/>
          <w:szCs w:val="18"/>
        </w:rPr>
        <w:t xml:space="preserve">e = ŷ − y                                                              in °C</w:t>
      </w:r>
    </w:p>
    <w:p>
      <w:pPr>
        <w:spacing w:after="120"/>
      </w:pPr>
    </w:p>
    <w:p>
      <w:pPr>
        <w:spacing w:after="120" w:before="60"/>
        <w:jc w:val="left"/>
      </w:pPr>
      <w:r>
        <w:rPr>
          <w:sz w:val="21"/>
          <w:szCs w:val="21"/>
        </w:rPr>
        <w:t xml:space="preserve">Both percentiles come from the 90 to 92 days of that single season-year at that single pixel.</w:t>
      </w:r>
    </w:p>
    <w:p>
      <w:pPr>
        <w:spacing w:after="120" w:before="60"/>
        <w:jc w:val="left"/>
      </w:pPr>
      <w:r>
        <w:rPr>
          <w:sz w:val="21"/>
          <w:szCs w:val="21"/>
        </w:rPr>
        <w:t xml:space="preserve">Those errors are then aggregated in two steps:</w:t>
      </w:r>
    </w:p>
    <w:p>
      <w:pPr>
        <w:pStyle w:val="ListParagraph"/>
        <w:numPr>
          <w:ilvl w:val="0"/>
          <w:numId w:val="2"/>
        </w:numPr>
        <w:spacing w:after="40" w:before="40"/>
      </w:pPr>
      <w:r>
        <w:rPr>
          <w:b/>
          <w:bCs/>
          <w:sz w:val="21"/>
          <w:szCs w:val="21"/>
        </w:rPr>
        <w:t xml:space="preserve">Over folds</w:t>
      </w:r>
      <w:r>
        <w:rPr>
          <w:sz w:val="21"/>
          <w:szCs w:val="21"/>
        </w:rPr>
        <w:t xml:space="preserve">, giving one value per (method, pixel, season, percentile). Averaging \|e\| over the season's 9 or 10 held-out years gives that pixel's MAE; averaging </w:t>
      </w:r>
      <w:r>
        <w:rPr>
          <w:i/>
          <w:iCs/>
          <w:sz w:val="21"/>
          <w:szCs w:val="21"/>
        </w:rPr>
        <w:t xml:space="preserve">e</w:t>
      </w:r>
      <w:r>
        <w:rPr>
          <w:sz w:val="21"/>
          <w:szCs w:val="21"/>
        </w:rPr>
        <w:t xml:space="preserve"> gives its bias. These per-pixel values are what the maps in Figs. 3 and 4 show.</w:t>
      </w:r>
    </w:p>
    <w:p>
      <w:pPr>
        <w:pStyle w:val="ListParagraph"/>
        <w:numPr>
          <w:ilvl w:val="0"/>
          <w:numId w:val="2"/>
        </w:numPr>
        <w:spacing w:after="40" w:before="40"/>
      </w:pPr>
      <w:r>
        <w:rPr>
          <w:b/>
          <w:bCs/>
          <w:sz w:val="21"/>
          <w:szCs w:val="21"/>
        </w:rPr>
        <w:t xml:space="preserve">Over pixels</w:t>
      </w:r>
      <w:r>
        <w:rPr>
          <w:sz w:val="21"/>
          <w:szCs w:val="21"/>
        </w:rPr>
        <w:t xml:space="preserve">, giving one value per (method, season, percentile) — the cells of Tables 2 and 4. Every (pixel, fold) pair is pooled, so each cell averages 76,830 errors, or 69,147 for DJF.</w:t>
      </w:r>
    </w:p>
    <w:p>
      <w:pPr>
        <w:spacing w:after="120" w:before="60"/>
        <w:jc w:val="left"/>
      </w:pPr>
      <w:r>
        <w:rPr>
          <w:sz w:val="21"/>
          <w:szCs w:val="21"/>
        </w:rPr>
        <w:t xml:space="preserve">When a single MAE is reported for a method (Table 3), it is the mean of the 20 (season, percentile) cells, each of which is already an average over pixels and folds. That last mean is unweighted, so DJF's nine folds count equally with the other seasons' ten; weighting by fold count instead gives 1.368 rather than 1.372 °C for the linear fit, a difference smaller than the spread between methods.</w:t>
      </w:r>
    </w:p>
    <w:p>
      <w:pPr>
        <w:pBdr>
          <w:bottom w:val="single" w:color="D5DBDE" w:sz="6"/>
        </w:pBdr>
        <w:spacing w:after="120" w:before="120"/>
      </w:pPr>
    </w:p>
    <w:p>
      <w:pPr>
        <w:pStyle w:val="Heading1"/>
        <w:spacing w:after="120" w:before="260"/>
        <w:outlineLvl w:val="1"/>
      </w:pPr>
      <w:r>
        <w:t xml:space="preserve">Results</w:t>
      </w:r>
    </w:p>
    <w:p>
      <w:pPr>
        <w:pStyle w:val="Heading2"/>
        <w:spacing w:after="120" w:before="260"/>
        <w:outlineLvl w:val="2"/>
      </w:pPr>
      <w:r>
        <w:t xml:space="preserve">Error by percentile</w:t>
      </w:r>
    </w:p>
    <w:p>
      <w:pPr>
        <w:spacing w:after="80" w:before="160"/>
        <w:jc w:val="center"/>
      </w:pPr>
      <w:r>
        <w:drawing>
          <wp:inline distT="0" distB="0" distL="0" distR="0">
            <wp:extent cx="6096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2143125"/>
                    </a:xfrm>
                    <a:prstGeom prst="rect">
                      <a:avLst/>
                    </a:prstGeom>
                  </pic:spPr>
                </pic:pic>
              </a:graphicData>
            </a:graphic>
          </wp:inline>
        </w:drawing>
      </w:r>
    </w:p>
    <w:p>
      <w:pPr>
        <w:spacing w:after="200" w:before="60"/>
      </w:pPr>
      <w:r>
        <w:rPr>
          <w:b/>
          <w:bCs/>
          <w:color w:val="5A6A73"/>
          <w:sz w:val="18"/>
          <w:szCs w:val="18"/>
        </w:rPr>
        <w:t xml:space="preserve">Fig. 1.</w:t>
      </w:r>
      <w:r>
        <w:rPr>
          <w:color w:val="5A6A73"/>
          <w:sz w:val="18"/>
          <w:szCs w:val="18"/>
        </w:rPr>
        <w:t xml:space="preserve"> </w:t>
      </w:r>
      <w:r>
        <w:rPr>
          <w:i/>
          <w:iCs/>
          <w:color w:val="5A6A73"/>
          <w:sz w:val="18"/>
          <w:szCs w:val="18"/>
        </w:rPr>
        <w:t xml:space="preserve">Cross-validated mean MAE for every method, season and percentile.</w:t>
      </w:r>
      <w:r>
        <w:rPr>
          <w:color w:val="5A6A73"/>
          <w:sz w:val="18"/>
          <w:szCs w:val="18"/>
        </w:rPr>
        <w:t xml:space="preserve"> Rows are methods, columns the five percentiles within each season. Each cell is the mean absolute error averaged over every land pixel and every held-out fold for that (method, season, percentile): 76,830 errors per cell, or 69,147 for DJF, where one error compares a predicted percentile against the observed percentile of one pixel in one season-year. Cell labels are in °C. The bottom row is the climatology floor, the mean MAE a climatology-only prediction would achieve, averaged the same way. Data: 7,683 land pixels, 39 season-folds, ERA5-Land and CMIP6 1990–1999.</w:t>
      </w:r>
    </w:p>
    <w:tbl>
      <w:tblPr>
        <w:tblW w:type="dxa" w:w="10080"/>
        <w:tblBorders>
          <w:top w:val="single" w:color="D5DBDE" w:sz="2"/>
          <w:left w:val="single" w:color="D5DBDE" w:sz="2"/>
          <w:bottom w:val="single" w:color="D5DBDE" w:sz="2"/>
          <w:right w:val="single" w:color="D5DBDE" w:sz="2"/>
          <w:insideH w:val="single" w:color="D5DBDE" w:sz="2"/>
          <w:insideV w:val="single" w:color="D5DBDE" w:sz="2"/>
        </w:tblBorders>
      </w:tblPr>
      <w:tblGrid>
        <w:gridCol w:w="1680"/>
        <w:gridCol w:w="1680"/>
        <w:gridCol w:w="1680"/>
        <w:gridCol w:w="1680"/>
        <w:gridCol w:w="1680"/>
        <w:gridCol w:w="1680"/>
      </w:tblGrid>
      <w:tr>
        <w:trPr>
          <w:tblHeader/>
        </w:trPr>
        <w:tc>
          <w:tcPr>
            <w:tcW w:type="dxa" w:w="1680"/>
            <w:shd w:fill="F2F4F5" w:color="auto" w:val="clear"/>
            <w:tcMar>
              <w:top w:type="dxa" w:w="60"/>
              <w:left w:type="dxa" w:w="110"/>
              <w:bottom w:type="dxa" w:w="60"/>
              <w:right w:type="dxa" w:w="110"/>
            </w:tcMar>
          </w:tcPr>
          <w:p>
            <w:pPr>
              <w:spacing w:after="0" w:before="0"/>
              <w:jc w:val="left"/>
            </w:pPr>
            <w:r>
              <w:rPr>
                <w:b/>
                <w:bCs/>
                <w:sz w:val="19"/>
                <w:szCs w:val="19"/>
              </w:rPr>
              <w:t xml:space="preserve">Method</w:t>
            </w:r>
          </w:p>
        </w:tc>
        <w:tc>
          <w:tcPr>
            <w:tcW w:type="dxa" w:w="1680"/>
            <w:shd w:fill="F2F4F5" w:color="auto" w:val="clear"/>
            <w:tcMar>
              <w:top w:type="dxa" w:w="60"/>
              <w:left w:type="dxa" w:w="110"/>
              <w:bottom w:type="dxa" w:w="60"/>
              <w:right w:type="dxa" w:w="110"/>
            </w:tcMar>
          </w:tcPr>
          <w:p>
            <w:pPr>
              <w:spacing w:after="0" w:before="0"/>
              <w:jc w:val="left"/>
            </w:pPr>
            <w:r>
              <w:rPr>
                <w:b/>
                <w:bCs/>
                <w:sz w:val="19"/>
                <w:szCs w:val="19"/>
              </w:rPr>
              <w:t xml:space="preserve">P5</w:t>
            </w:r>
          </w:p>
        </w:tc>
        <w:tc>
          <w:tcPr>
            <w:tcW w:type="dxa" w:w="1680"/>
            <w:shd w:fill="F2F4F5" w:color="auto" w:val="clear"/>
            <w:tcMar>
              <w:top w:type="dxa" w:w="60"/>
              <w:left w:type="dxa" w:w="110"/>
              <w:bottom w:type="dxa" w:w="60"/>
              <w:right w:type="dxa" w:w="110"/>
            </w:tcMar>
          </w:tcPr>
          <w:p>
            <w:pPr>
              <w:spacing w:after="0" w:before="0"/>
              <w:jc w:val="left"/>
            </w:pPr>
            <w:r>
              <w:rPr>
                <w:b/>
                <w:bCs/>
                <w:sz w:val="19"/>
                <w:szCs w:val="19"/>
              </w:rPr>
              <w:t xml:space="preserve">P25</w:t>
            </w:r>
          </w:p>
        </w:tc>
        <w:tc>
          <w:tcPr>
            <w:tcW w:type="dxa" w:w="1680"/>
            <w:shd w:fill="F2F4F5" w:color="auto" w:val="clear"/>
            <w:tcMar>
              <w:top w:type="dxa" w:w="60"/>
              <w:left w:type="dxa" w:w="110"/>
              <w:bottom w:type="dxa" w:w="60"/>
              <w:right w:type="dxa" w:w="110"/>
            </w:tcMar>
          </w:tcPr>
          <w:p>
            <w:pPr>
              <w:spacing w:after="0" w:before="0"/>
              <w:jc w:val="left"/>
            </w:pPr>
            <w:r>
              <w:rPr>
                <w:b/>
                <w:bCs/>
                <w:sz w:val="19"/>
                <w:szCs w:val="19"/>
              </w:rPr>
              <w:t xml:space="preserve">P50</w:t>
            </w:r>
          </w:p>
        </w:tc>
        <w:tc>
          <w:tcPr>
            <w:tcW w:type="dxa" w:w="1680"/>
            <w:shd w:fill="F2F4F5" w:color="auto" w:val="clear"/>
            <w:tcMar>
              <w:top w:type="dxa" w:w="60"/>
              <w:left w:type="dxa" w:w="110"/>
              <w:bottom w:type="dxa" w:w="60"/>
              <w:right w:type="dxa" w:w="110"/>
            </w:tcMar>
          </w:tcPr>
          <w:p>
            <w:pPr>
              <w:spacing w:after="0" w:before="0"/>
              <w:jc w:val="left"/>
            </w:pPr>
            <w:r>
              <w:rPr>
                <w:b/>
                <w:bCs/>
                <w:sz w:val="19"/>
                <w:szCs w:val="19"/>
              </w:rPr>
              <w:t xml:space="preserve">P75</w:t>
            </w:r>
          </w:p>
        </w:tc>
        <w:tc>
          <w:tcPr>
            <w:tcW w:type="dxa" w:w="1680"/>
            <w:shd w:fill="F2F4F5" w:color="auto" w:val="clear"/>
            <w:tcMar>
              <w:top w:type="dxa" w:w="60"/>
              <w:left w:type="dxa" w:w="110"/>
              <w:bottom w:type="dxa" w:w="60"/>
              <w:right w:type="dxa" w:w="110"/>
            </w:tcMar>
          </w:tcPr>
          <w:p>
            <w:pPr>
              <w:spacing w:after="0" w:before="0"/>
              <w:jc w:val="left"/>
            </w:pPr>
            <w:r>
              <w:rPr>
                <w:b/>
                <w:bCs/>
                <w:sz w:val="19"/>
                <w:szCs w:val="19"/>
              </w:rPr>
              <w:t xml:space="preserve">P90</w:t>
            </w:r>
          </w:p>
        </w:tc>
      </w:tr>
      <w:tr>
        <w:trPr>
          <w:tblHeader w:val="false"/>
        </w:trPr>
        <w:tc>
          <w:tcPr>
            <w:tcW w:type="dxa" w:w="1680"/>
            <w:tcMar>
              <w:top w:type="dxa" w:w="60"/>
              <w:left w:type="dxa" w:w="110"/>
              <w:bottom w:type="dxa" w:w="60"/>
              <w:right w:type="dxa" w:w="110"/>
            </w:tcMar>
          </w:tcPr>
          <w:p>
            <w:pPr>
              <w:spacing w:after="0" w:before="0"/>
              <w:jc w:val="left"/>
            </w:pPr>
            <w:r>
              <w:rPr>
                <w:sz w:val="19"/>
                <w:szCs w:val="19"/>
              </w:rPr>
              <w:t xml:space="preserve">No correction</w:t>
            </w:r>
          </w:p>
        </w:tc>
        <w:tc>
          <w:tcPr>
            <w:tcW w:type="dxa" w:w="1680"/>
            <w:tcMar>
              <w:top w:type="dxa" w:w="60"/>
              <w:left w:type="dxa" w:w="110"/>
              <w:bottom w:type="dxa" w:w="60"/>
              <w:right w:type="dxa" w:w="110"/>
            </w:tcMar>
          </w:tcPr>
          <w:p>
            <w:pPr>
              <w:spacing w:after="0" w:before="0"/>
              <w:jc w:val="right"/>
            </w:pPr>
            <w:r>
              <w:rPr>
                <w:sz w:val="19"/>
                <w:szCs w:val="19"/>
              </w:rPr>
              <w:t xml:space="preserve">2.292</w:t>
            </w:r>
          </w:p>
        </w:tc>
        <w:tc>
          <w:tcPr>
            <w:tcW w:type="dxa" w:w="1680"/>
            <w:tcMar>
              <w:top w:type="dxa" w:w="60"/>
              <w:left w:type="dxa" w:w="110"/>
              <w:bottom w:type="dxa" w:w="60"/>
              <w:right w:type="dxa" w:w="110"/>
            </w:tcMar>
          </w:tcPr>
          <w:p>
            <w:pPr>
              <w:spacing w:after="0" w:before="0"/>
              <w:jc w:val="right"/>
            </w:pPr>
            <w:r>
              <w:rPr>
                <w:sz w:val="19"/>
                <w:szCs w:val="19"/>
              </w:rPr>
              <w:t xml:space="preserve">2.162</w:t>
            </w:r>
          </w:p>
        </w:tc>
        <w:tc>
          <w:tcPr>
            <w:tcW w:type="dxa" w:w="1680"/>
            <w:tcMar>
              <w:top w:type="dxa" w:w="60"/>
              <w:left w:type="dxa" w:w="110"/>
              <w:bottom w:type="dxa" w:w="60"/>
              <w:right w:type="dxa" w:w="110"/>
            </w:tcMar>
          </w:tcPr>
          <w:p>
            <w:pPr>
              <w:spacing w:after="0" w:before="0"/>
              <w:jc w:val="right"/>
            </w:pPr>
            <w:r>
              <w:rPr>
                <w:sz w:val="19"/>
                <w:szCs w:val="19"/>
              </w:rPr>
              <w:t xml:space="preserve">2.034</w:t>
            </w:r>
          </w:p>
        </w:tc>
        <w:tc>
          <w:tcPr>
            <w:tcW w:type="dxa" w:w="1680"/>
            <w:tcMar>
              <w:top w:type="dxa" w:w="60"/>
              <w:left w:type="dxa" w:w="110"/>
              <w:bottom w:type="dxa" w:w="60"/>
              <w:right w:type="dxa" w:w="110"/>
            </w:tcMar>
          </w:tcPr>
          <w:p>
            <w:pPr>
              <w:spacing w:after="0" w:before="0"/>
              <w:jc w:val="right"/>
            </w:pPr>
            <w:r>
              <w:rPr>
                <w:sz w:val="19"/>
                <w:szCs w:val="19"/>
              </w:rPr>
              <w:t xml:space="preserve">1.988</w:t>
            </w:r>
          </w:p>
        </w:tc>
        <w:tc>
          <w:tcPr>
            <w:tcW w:type="dxa" w:w="1680"/>
            <w:tcMar>
              <w:top w:type="dxa" w:w="60"/>
              <w:left w:type="dxa" w:w="110"/>
              <w:bottom w:type="dxa" w:w="60"/>
              <w:right w:type="dxa" w:w="110"/>
            </w:tcMar>
          </w:tcPr>
          <w:p>
            <w:pPr>
              <w:spacing w:after="0" w:before="0"/>
              <w:jc w:val="right"/>
            </w:pPr>
            <w:r>
              <w:rPr>
                <w:sz w:val="19"/>
                <w:szCs w:val="19"/>
              </w:rPr>
              <w:t xml:space="preserve">2.181</w:t>
            </w:r>
          </w:p>
        </w:tc>
      </w:tr>
      <w:tr>
        <w:trPr>
          <w:tblHeader w:val="false"/>
        </w:trPr>
        <w:tc>
          <w:tcPr>
            <w:tcW w:type="dxa" w:w="1680"/>
            <w:tcMar>
              <w:top w:type="dxa" w:w="60"/>
              <w:left w:type="dxa" w:w="110"/>
              <w:bottom w:type="dxa" w:w="60"/>
              <w:right w:type="dxa" w:w="110"/>
            </w:tcMar>
          </w:tcPr>
          <w:p>
            <w:pPr>
              <w:spacing w:after="0" w:before="0"/>
              <w:jc w:val="left"/>
            </w:pPr>
            <w:r>
              <w:rPr>
                <w:sz w:val="19"/>
                <w:szCs w:val="19"/>
              </w:rPr>
              <w:t xml:space="preserve">QUANT</w:t>
            </w:r>
          </w:p>
        </w:tc>
        <w:tc>
          <w:tcPr>
            <w:tcW w:type="dxa" w:w="1680"/>
            <w:tcMar>
              <w:top w:type="dxa" w:w="60"/>
              <w:left w:type="dxa" w:w="110"/>
              <w:bottom w:type="dxa" w:w="60"/>
              <w:right w:type="dxa" w:w="110"/>
            </w:tcMar>
          </w:tcPr>
          <w:p>
            <w:pPr>
              <w:spacing w:after="0" w:before="0"/>
              <w:jc w:val="right"/>
            </w:pPr>
            <w:r>
              <w:rPr>
                <w:sz w:val="19"/>
                <w:szCs w:val="19"/>
              </w:rPr>
              <w:t xml:space="preserve">1.735</w:t>
            </w:r>
          </w:p>
        </w:tc>
        <w:tc>
          <w:tcPr>
            <w:tcW w:type="dxa" w:w="1680"/>
            <w:tcMar>
              <w:top w:type="dxa" w:w="60"/>
              <w:left w:type="dxa" w:w="110"/>
              <w:bottom w:type="dxa" w:w="60"/>
              <w:right w:type="dxa" w:w="110"/>
            </w:tcMar>
          </w:tcPr>
          <w:p>
            <w:pPr>
              <w:spacing w:after="0" w:before="0"/>
              <w:jc w:val="right"/>
            </w:pPr>
            <w:r>
              <w:rPr>
                <w:sz w:val="19"/>
                <w:szCs w:val="19"/>
              </w:rPr>
              <w:t xml:space="preserve">1.338</w:t>
            </w:r>
          </w:p>
        </w:tc>
        <w:tc>
          <w:tcPr>
            <w:tcW w:type="dxa" w:w="1680"/>
            <w:tcMar>
              <w:top w:type="dxa" w:w="60"/>
              <w:left w:type="dxa" w:w="110"/>
              <w:bottom w:type="dxa" w:w="60"/>
              <w:right w:type="dxa" w:w="110"/>
            </w:tcMar>
          </w:tcPr>
          <w:p>
            <w:pPr>
              <w:spacing w:after="0" w:before="0"/>
              <w:jc w:val="right"/>
            </w:pPr>
            <w:r>
              <w:rPr>
                <w:b/>
                <w:bCs/>
                <w:sz w:val="19"/>
                <w:szCs w:val="19"/>
              </w:rPr>
              <w:t xml:space="preserve">1.290</w:t>
            </w:r>
          </w:p>
        </w:tc>
        <w:tc>
          <w:tcPr>
            <w:tcW w:type="dxa" w:w="1680"/>
            <w:tcMar>
              <w:top w:type="dxa" w:w="60"/>
              <w:left w:type="dxa" w:w="110"/>
              <w:bottom w:type="dxa" w:w="60"/>
              <w:right w:type="dxa" w:w="110"/>
            </w:tcMar>
          </w:tcPr>
          <w:p>
            <w:pPr>
              <w:spacing w:after="0" w:before="0"/>
              <w:jc w:val="right"/>
            </w:pPr>
            <w:r>
              <w:rPr>
                <w:sz w:val="19"/>
                <w:szCs w:val="19"/>
              </w:rPr>
              <w:t xml:space="preserve">1.238</w:t>
            </w:r>
          </w:p>
        </w:tc>
        <w:tc>
          <w:tcPr>
            <w:tcW w:type="dxa" w:w="1680"/>
            <w:tcMar>
              <w:top w:type="dxa" w:w="60"/>
              <w:left w:type="dxa" w:w="110"/>
              <w:bottom w:type="dxa" w:w="60"/>
              <w:right w:type="dxa" w:w="110"/>
            </w:tcMar>
          </w:tcPr>
          <w:p>
            <w:pPr>
              <w:spacing w:after="0" w:before="0"/>
              <w:jc w:val="right"/>
            </w:pPr>
            <w:r>
              <w:rPr>
                <w:sz w:val="19"/>
                <w:szCs w:val="19"/>
              </w:rPr>
              <w:t xml:space="preserve">1.350</w:t>
            </w:r>
          </w:p>
        </w:tc>
      </w:tr>
      <w:tr>
        <w:trPr>
          <w:tblHeader w:val="false"/>
        </w:trPr>
        <w:tc>
          <w:tcPr>
            <w:tcW w:type="dxa" w:w="1680"/>
            <w:tcMar>
              <w:top w:type="dxa" w:w="60"/>
              <w:left w:type="dxa" w:w="110"/>
              <w:bottom w:type="dxa" w:w="60"/>
              <w:right w:type="dxa" w:w="110"/>
            </w:tcMar>
          </w:tcPr>
          <w:p>
            <w:pPr>
              <w:spacing w:after="0" w:before="0"/>
              <w:jc w:val="left"/>
            </w:pPr>
            <w:r>
              <w:rPr>
                <w:sz w:val="19"/>
                <w:szCs w:val="19"/>
              </w:rPr>
              <w:t xml:space="preserve">RQUANT</w:t>
            </w:r>
          </w:p>
        </w:tc>
        <w:tc>
          <w:tcPr>
            <w:tcW w:type="dxa" w:w="1680"/>
            <w:tcMar>
              <w:top w:type="dxa" w:w="60"/>
              <w:left w:type="dxa" w:w="110"/>
              <w:bottom w:type="dxa" w:w="60"/>
              <w:right w:type="dxa" w:w="110"/>
            </w:tcMar>
          </w:tcPr>
          <w:p>
            <w:pPr>
              <w:spacing w:after="0" w:before="0"/>
              <w:jc w:val="right"/>
            </w:pPr>
            <w:r>
              <w:rPr>
                <w:sz w:val="19"/>
                <w:szCs w:val="19"/>
              </w:rPr>
              <w:t xml:space="preserve">1.682</w:t>
            </w:r>
          </w:p>
        </w:tc>
        <w:tc>
          <w:tcPr>
            <w:tcW w:type="dxa" w:w="1680"/>
            <w:tcMar>
              <w:top w:type="dxa" w:w="60"/>
              <w:left w:type="dxa" w:w="110"/>
              <w:bottom w:type="dxa" w:w="60"/>
              <w:right w:type="dxa" w:w="110"/>
            </w:tcMar>
          </w:tcPr>
          <w:p>
            <w:pPr>
              <w:spacing w:after="0" w:before="0"/>
              <w:jc w:val="right"/>
            </w:pPr>
            <w:r>
              <w:rPr>
                <w:sz w:val="19"/>
                <w:szCs w:val="19"/>
              </w:rPr>
              <w:t xml:space="preserve">1.356</w:t>
            </w:r>
          </w:p>
        </w:tc>
        <w:tc>
          <w:tcPr>
            <w:tcW w:type="dxa" w:w="1680"/>
            <w:tcMar>
              <w:top w:type="dxa" w:w="60"/>
              <w:left w:type="dxa" w:w="110"/>
              <w:bottom w:type="dxa" w:w="60"/>
              <w:right w:type="dxa" w:w="110"/>
            </w:tcMar>
          </w:tcPr>
          <w:p>
            <w:pPr>
              <w:spacing w:after="0" w:before="0"/>
              <w:jc w:val="right"/>
            </w:pPr>
            <w:r>
              <w:rPr>
                <w:sz w:val="19"/>
                <w:szCs w:val="19"/>
              </w:rPr>
              <w:t xml:space="preserve">1.297</w:t>
            </w:r>
          </w:p>
        </w:tc>
        <w:tc>
          <w:tcPr>
            <w:tcW w:type="dxa" w:w="1680"/>
            <w:tcMar>
              <w:top w:type="dxa" w:w="60"/>
              <w:left w:type="dxa" w:w="110"/>
              <w:bottom w:type="dxa" w:w="60"/>
              <w:right w:type="dxa" w:w="110"/>
            </w:tcMar>
          </w:tcPr>
          <w:p>
            <w:pPr>
              <w:spacing w:after="0" w:before="0"/>
              <w:jc w:val="right"/>
            </w:pPr>
            <w:r>
              <w:rPr>
                <w:sz w:val="19"/>
                <w:szCs w:val="19"/>
              </w:rPr>
              <w:t xml:space="preserve">1.239</w:t>
            </w:r>
          </w:p>
        </w:tc>
        <w:tc>
          <w:tcPr>
            <w:tcW w:type="dxa" w:w="1680"/>
            <w:tcMar>
              <w:top w:type="dxa" w:w="60"/>
              <w:left w:type="dxa" w:w="110"/>
              <w:bottom w:type="dxa" w:w="60"/>
              <w:right w:type="dxa" w:w="110"/>
            </w:tcMar>
          </w:tcPr>
          <w:p>
            <w:pPr>
              <w:spacing w:after="0" w:before="0"/>
              <w:jc w:val="right"/>
            </w:pPr>
            <w:r>
              <w:rPr>
                <w:sz w:val="19"/>
                <w:szCs w:val="19"/>
              </w:rPr>
              <w:t xml:space="preserve">1.344</w:t>
            </w:r>
          </w:p>
        </w:tc>
      </w:tr>
      <w:tr>
        <w:trPr>
          <w:tblHeader w:val="false"/>
        </w:trPr>
        <w:tc>
          <w:tcPr>
            <w:tcW w:type="dxa" w:w="1680"/>
            <w:tcMar>
              <w:top w:type="dxa" w:w="60"/>
              <w:left w:type="dxa" w:w="110"/>
              <w:bottom w:type="dxa" w:w="60"/>
              <w:right w:type="dxa" w:w="110"/>
            </w:tcMar>
          </w:tcPr>
          <w:p>
            <w:pPr>
              <w:spacing w:after="0" w:before="0"/>
              <w:jc w:val="left"/>
            </w:pPr>
            <w:r>
              <w:rPr>
                <w:sz w:val="19"/>
                <w:szCs w:val="19"/>
              </w:rPr>
              <w:t xml:space="preserve">Normal</w:t>
            </w:r>
          </w:p>
        </w:tc>
        <w:tc>
          <w:tcPr>
            <w:tcW w:type="dxa" w:w="1680"/>
            <w:tcMar>
              <w:top w:type="dxa" w:w="60"/>
              <w:left w:type="dxa" w:w="110"/>
              <w:bottom w:type="dxa" w:w="60"/>
              <w:right w:type="dxa" w:w="110"/>
            </w:tcMar>
          </w:tcPr>
          <w:p>
            <w:pPr>
              <w:spacing w:after="0" w:before="0"/>
              <w:jc w:val="right"/>
            </w:pPr>
            <w:r>
              <w:rPr>
                <w:sz w:val="19"/>
                <w:szCs w:val="19"/>
              </w:rPr>
              <w:t xml:space="preserve">1.622</w:t>
            </w:r>
          </w:p>
        </w:tc>
        <w:tc>
          <w:tcPr>
            <w:tcW w:type="dxa" w:w="1680"/>
            <w:tcMar>
              <w:top w:type="dxa" w:w="60"/>
              <w:left w:type="dxa" w:w="110"/>
              <w:bottom w:type="dxa" w:w="60"/>
              <w:right w:type="dxa" w:w="110"/>
            </w:tcMar>
          </w:tcPr>
          <w:p>
            <w:pPr>
              <w:spacing w:after="0" w:before="0"/>
              <w:jc w:val="right"/>
            </w:pPr>
            <w:r>
              <w:rPr>
                <w:sz w:val="19"/>
                <w:szCs w:val="19"/>
              </w:rPr>
              <w:t xml:space="preserve">1.330</w:t>
            </w:r>
          </w:p>
        </w:tc>
        <w:tc>
          <w:tcPr>
            <w:tcW w:type="dxa" w:w="1680"/>
            <w:tcMar>
              <w:top w:type="dxa" w:w="60"/>
              <w:left w:type="dxa" w:w="110"/>
              <w:bottom w:type="dxa" w:w="60"/>
              <w:right w:type="dxa" w:w="110"/>
            </w:tcMar>
          </w:tcPr>
          <w:p>
            <w:pPr>
              <w:spacing w:after="0" w:before="0"/>
              <w:jc w:val="right"/>
            </w:pPr>
            <w:r>
              <w:rPr>
                <w:sz w:val="19"/>
                <w:szCs w:val="19"/>
              </w:rPr>
              <w:t xml:space="preserve">1.297</w:t>
            </w:r>
          </w:p>
        </w:tc>
        <w:tc>
          <w:tcPr>
            <w:tcW w:type="dxa" w:w="1680"/>
            <w:tcMar>
              <w:top w:type="dxa" w:w="60"/>
              <w:left w:type="dxa" w:w="110"/>
              <w:bottom w:type="dxa" w:w="60"/>
              <w:right w:type="dxa" w:w="110"/>
            </w:tcMar>
          </w:tcPr>
          <w:p>
            <w:pPr>
              <w:spacing w:after="0" w:before="0"/>
              <w:jc w:val="right"/>
            </w:pPr>
            <w:r>
              <w:rPr>
                <w:sz w:val="19"/>
                <w:szCs w:val="19"/>
              </w:rPr>
              <w:t xml:space="preserve">1.241</w:t>
            </w:r>
          </w:p>
        </w:tc>
        <w:tc>
          <w:tcPr>
            <w:tcW w:type="dxa" w:w="1680"/>
            <w:tcMar>
              <w:top w:type="dxa" w:w="60"/>
              <w:left w:type="dxa" w:w="110"/>
              <w:bottom w:type="dxa" w:w="60"/>
              <w:right w:type="dxa" w:w="110"/>
            </w:tcMar>
          </w:tcPr>
          <w:p>
            <w:pPr>
              <w:spacing w:after="0" w:before="0"/>
              <w:jc w:val="right"/>
            </w:pPr>
            <w:r>
              <w:rPr>
                <w:sz w:val="19"/>
                <w:szCs w:val="19"/>
              </w:rPr>
              <w:t xml:space="preserve">1.392</w:t>
            </w:r>
          </w:p>
        </w:tc>
      </w:tr>
      <w:tr>
        <w:trPr>
          <w:tblHeader w:val="false"/>
        </w:trPr>
        <w:tc>
          <w:tcPr>
            <w:tcW w:type="dxa" w:w="1680"/>
            <w:tcMar>
              <w:top w:type="dxa" w:w="60"/>
              <w:left w:type="dxa" w:w="110"/>
              <w:bottom w:type="dxa" w:w="60"/>
              <w:right w:type="dxa" w:w="110"/>
            </w:tcMar>
          </w:tcPr>
          <w:p>
            <w:pPr>
              <w:spacing w:after="0" w:before="0"/>
              <w:jc w:val="left"/>
            </w:pPr>
            <w:r>
              <w:rPr>
                <w:sz w:val="19"/>
                <w:szCs w:val="19"/>
              </w:rPr>
              <w:t xml:space="preserve">SSPLIN</w:t>
            </w:r>
          </w:p>
        </w:tc>
        <w:tc>
          <w:tcPr>
            <w:tcW w:type="dxa" w:w="1680"/>
            <w:tcMar>
              <w:top w:type="dxa" w:w="60"/>
              <w:left w:type="dxa" w:w="110"/>
              <w:bottom w:type="dxa" w:w="60"/>
              <w:right w:type="dxa" w:w="110"/>
            </w:tcMar>
          </w:tcPr>
          <w:p>
            <w:pPr>
              <w:spacing w:after="0" w:before="0"/>
              <w:jc w:val="right"/>
            </w:pPr>
            <w:r>
              <w:rPr>
                <w:sz w:val="19"/>
                <w:szCs w:val="19"/>
              </w:rPr>
              <w:t xml:space="preserve">1.666</w:t>
            </w:r>
          </w:p>
        </w:tc>
        <w:tc>
          <w:tcPr>
            <w:tcW w:type="dxa" w:w="1680"/>
            <w:tcMar>
              <w:top w:type="dxa" w:w="60"/>
              <w:left w:type="dxa" w:w="110"/>
              <w:bottom w:type="dxa" w:w="60"/>
              <w:right w:type="dxa" w:w="110"/>
            </w:tcMar>
          </w:tcPr>
          <w:p>
            <w:pPr>
              <w:spacing w:after="0" w:before="0"/>
              <w:jc w:val="right"/>
            </w:pPr>
            <w:r>
              <w:rPr>
                <w:sz w:val="19"/>
                <w:szCs w:val="19"/>
              </w:rPr>
              <w:t xml:space="preserve">1.349</w:t>
            </w:r>
          </w:p>
        </w:tc>
        <w:tc>
          <w:tcPr>
            <w:tcW w:type="dxa" w:w="1680"/>
            <w:tcMar>
              <w:top w:type="dxa" w:w="60"/>
              <w:left w:type="dxa" w:w="110"/>
              <w:bottom w:type="dxa" w:w="60"/>
              <w:right w:type="dxa" w:w="110"/>
            </w:tcMar>
          </w:tcPr>
          <w:p>
            <w:pPr>
              <w:spacing w:after="0" w:before="0"/>
              <w:jc w:val="right"/>
            </w:pPr>
            <w:r>
              <w:rPr>
                <w:sz w:val="19"/>
                <w:szCs w:val="19"/>
              </w:rPr>
              <w:t xml:space="preserve">1.291</w:t>
            </w:r>
          </w:p>
        </w:tc>
        <w:tc>
          <w:tcPr>
            <w:tcW w:type="dxa" w:w="1680"/>
            <w:tcMar>
              <w:top w:type="dxa" w:w="60"/>
              <w:left w:type="dxa" w:w="110"/>
              <w:bottom w:type="dxa" w:w="60"/>
              <w:right w:type="dxa" w:w="110"/>
            </w:tcMar>
          </w:tcPr>
          <w:p>
            <w:pPr>
              <w:spacing w:after="0" w:before="0"/>
              <w:jc w:val="right"/>
            </w:pPr>
            <w:r>
              <w:rPr>
                <w:sz w:val="19"/>
                <w:szCs w:val="19"/>
              </w:rPr>
              <w:t xml:space="preserve">1.241</w:t>
            </w:r>
          </w:p>
        </w:tc>
        <w:tc>
          <w:tcPr>
            <w:tcW w:type="dxa" w:w="1680"/>
            <w:tcMar>
              <w:top w:type="dxa" w:w="60"/>
              <w:left w:type="dxa" w:w="110"/>
              <w:bottom w:type="dxa" w:w="60"/>
              <w:right w:type="dxa" w:w="110"/>
            </w:tcMar>
          </w:tcPr>
          <w:p>
            <w:pPr>
              <w:spacing w:after="0" w:before="0"/>
              <w:jc w:val="right"/>
            </w:pPr>
            <w:r>
              <w:rPr>
                <w:sz w:val="19"/>
                <w:szCs w:val="19"/>
              </w:rPr>
              <w:t xml:space="preserve">1.334</w:t>
            </w:r>
          </w:p>
        </w:tc>
      </w:tr>
      <w:tr>
        <w:trPr>
          <w:tblHeader w:val="false"/>
        </w:trPr>
        <w:tc>
          <w:tcPr>
            <w:tcW w:type="dxa" w:w="1680"/>
            <w:tcMar>
              <w:top w:type="dxa" w:w="60"/>
              <w:left w:type="dxa" w:w="110"/>
              <w:bottom w:type="dxa" w:w="60"/>
              <w:right w:type="dxa" w:w="110"/>
            </w:tcMar>
          </w:tcPr>
          <w:p>
            <w:pPr>
              <w:spacing w:after="0" w:before="0"/>
              <w:jc w:val="left"/>
            </w:pPr>
            <w:r>
              <w:rPr>
                <w:sz w:val="19"/>
                <w:szCs w:val="19"/>
              </w:rPr>
              <w:t xml:space="preserve">Linear</w:t>
            </w:r>
          </w:p>
        </w:tc>
        <w:tc>
          <w:tcPr>
            <w:tcW w:type="dxa" w:w="1680"/>
            <w:tcMar>
              <w:top w:type="dxa" w:w="60"/>
              <w:left w:type="dxa" w:w="110"/>
              <w:bottom w:type="dxa" w:w="60"/>
              <w:right w:type="dxa" w:w="110"/>
            </w:tcMar>
          </w:tcPr>
          <w:p>
            <w:pPr>
              <w:spacing w:after="0" w:before="0"/>
              <w:jc w:val="right"/>
            </w:pPr>
            <w:r>
              <w:rPr>
                <w:b/>
                <w:bCs/>
                <w:sz w:val="19"/>
                <w:szCs w:val="19"/>
              </w:rPr>
              <w:t xml:space="preserve">1.617</w:t>
            </w:r>
          </w:p>
        </w:tc>
        <w:tc>
          <w:tcPr>
            <w:tcW w:type="dxa" w:w="1680"/>
            <w:tcMar>
              <w:top w:type="dxa" w:w="60"/>
              <w:left w:type="dxa" w:w="110"/>
              <w:bottom w:type="dxa" w:w="60"/>
              <w:right w:type="dxa" w:w="110"/>
            </w:tcMar>
          </w:tcPr>
          <w:p>
            <w:pPr>
              <w:spacing w:after="0" w:before="0"/>
              <w:jc w:val="right"/>
            </w:pPr>
            <w:r>
              <w:rPr>
                <w:b/>
                <w:bCs/>
                <w:sz w:val="19"/>
                <w:szCs w:val="19"/>
              </w:rPr>
              <w:t xml:space="preserve">1.326</w:t>
            </w:r>
          </w:p>
        </w:tc>
        <w:tc>
          <w:tcPr>
            <w:tcW w:type="dxa" w:w="1680"/>
            <w:tcMar>
              <w:top w:type="dxa" w:w="60"/>
              <w:left w:type="dxa" w:w="110"/>
              <w:bottom w:type="dxa" w:w="60"/>
              <w:right w:type="dxa" w:w="110"/>
            </w:tcMar>
          </w:tcPr>
          <w:p>
            <w:pPr>
              <w:spacing w:after="0" w:before="0"/>
              <w:jc w:val="right"/>
            </w:pPr>
            <w:r>
              <w:rPr>
                <w:sz w:val="19"/>
                <w:szCs w:val="19"/>
              </w:rPr>
              <w:t xml:space="preserve">1.294</w:t>
            </w:r>
          </w:p>
        </w:tc>
        <w:tc>
          <w:tcPr>
            <w:tcW w:type="dxa" w:w="1680"/>
            <w:tcMar>
              <w:top w:type="dxa" w:w="60"/>
              <w:left w:type="dxa" w:w="110"/>
              <w:bottom w:type="dxa" w:w="60"/>
              <w:right w:type="dxa" w:w="110"/>
            </w:tcMar>
          </w:tcPr>
          <w:p>
            <w:pPr>
              <w:spacing w:after="0" w:before="0"/>
              <w:jc w:val="right"/>
            </w:pPr>
            <w:r>
              <w:rPr>
                <w:sz w:val="19"/>
                <w:szCs w:val="19"/>
              </w:rPr>
              <w:t xml:space="preserve">1.238</w:t>
            </w:r>
          </w:p>
        </w:tc>
        <w:tc>
          <w:tcPr>
            <w:tcW w:type="dxa" w:w="1680"/>
            <w:tcMar>
              <w:top w:type="dxa" w:w="60"/>
              <w:left w:type="dxa" w:w="110"/>
              <w:bottom w:type="dxa" w:w="60"/>
              <w:right w:type="dxa" w:w="110"/>
            </w:tcMar>
          </w:tcPr>
          <w:p>
            <w:pPr>
              <w:spacing w:after="0" w:before="0"/>
              <w:jc w:val="right"/>
            </w:pPr>
            <w:r>
              <w:rPr>
                <w:sz w:val="19"/>
                <w:szCs w:val="19"/>
              </w:rPr>
              <w:t xml:space="preserve">1.384</w:t>
            </w:r>
          </w:p>
        </w:tc>
      </w:tr>
      <w:tr>
        <w:trPr>
          <w:tblHeader w:val="false"/>
        </w:trPr>
        <w:tc>
          <w:tcPr>
            <w:tcW w:type="dxa" w:w="1680"/>
            <w:tcMar>
              <w:top w:type="dxa" w:w="60"/>
              <w:left w:type="dxa" w:w="110"/>
              <w:bottom w:type="dxa" w:w="60"/>
              <w:right w:type="dxa" w:w="110"/>
            </w:tcMar>
          </w:tcPr>
          <w:p>
            <w:pPr>
              <w:spacing w:after="0" w:before="0"/>
              <w:jc w:val="left"/>
            </w:pPr>
            <w:r>
              <w:rPr>
                <w:sz w:val="19"/>
                <w:szCs w:val="19"/>
              </w:rPr>
              <w:t xml:space="preserve">Polynomial</w:t>
            </w:r>
          </w:p>
        </w:tc>
        <w:tc>
          <w:tcPr>
            <w:tcW w:type="dxa" w:w="1680"/>
            <w:tcMar>
              <w:top w:type="dxa" w:w="60"/>
              <w:left w:type="dxa" w:w="110"/>
              <w:bottom w:type="dxa" w:w="60"/>
              <w:right w:type="dxa" w:w="110"/>
            </w:tcMar>
          </w:tcPr>
          <w:p>
            <w:pPr>
              <w:spacing w:after="0" w:before="0"/>
              <w:jc w:val="right"/>
            </w:pPr>
            <w:r>
              <w:rPr>
                <w:sz w:val="19"/>
                <w:szCs w:val="19"/>
              </w:rPr>
              <w:t xml:space="preserve">1.639</w:t>
            </w:r>
          </w:p>
        </w:tc>
        <w:tc>
          <w:tcPr>
            <w:tcW w:type="dxa" w:w="1680"/>
            <w:tcMar>
              <w:top w:type="dxa" w:w="60"/>
              <w:left w:type="dxa" w:w="110"/>
              <w:bottom w:type="dxa" w:w="60"/>
              <w:right w:type="dxa" w:w="110"/>
            </w:tcMar>
          </w:tcPr>
          <w:p>
            <w:pPr>
              <w:spacing w:after="0" w:before="0"/>
              <w:jc w:val="right"/>
            </w:pPr>
            <w:r>
              <w:rPr>
                <w:sz w:val="19"/>
                <w:szCs w:val="19"/>
              </w:rPr>
              <w:t xml:space="preserve">1.356</w:t>
            </w:r>
          </w:p>
        </w:tc>
        <w:tc>
          <w:tcPr>
            <w:tcW w:type="dxa" w:w="1680"/>
            <w:tcMar>
              <w:top w:type="dxa" w:w="60"/>
              <w:left w:type="dxa" w:w="110"/>
              <w:bottom w:type="dxa" w:w="60"/>
              <w:right w:type="dxa" w:w="110"/>
            </w:tcMar>
          </w:tcPr>
          <w:p>
            <w:pPr>
              <w:spacing w:after="0" w:before="0"/>
              <w:jc w:val="right"/>
            </w:pPr>
            <w:r>
              <w:rPr>
                <w:sz w:val="19"/>
                <w:szCs w:val="19"/>
              </w:rPr>
              <w:t xml:space="preserve">1.319</w:t>
            </w:r>
          </w:p>
        </w:tc>
        <w:tc>
          <w:tcPr>
            <w:tcW w:type="dxa" w:w="1680"/>
            <w:tcMar>
              <w:top w:type="dxa" w:w="60"/>
              <w:left w:type="dxa" w:w="110"/>
              <w:bottom w:type="dxa" w:w="60"/>
              <w:right w:type="dxa" w:w="110"/>
            </w:tcMar>
          </w:tcPr>
          <w:p>
            <w:pPr>
              <w:spacing w:after="0" w:before="0"/>
              <w:jc w:val="right"/>
            </w:pPr>
            <w:r>
              <w:rPr>
                <w:b/>
                <w:bCs/>
                <w:sz w:val="19"/>
                <w:szCs w:val="19"/>
              </w:rPr>
              <w:t xml:space="preserve">1.226</w:t>
            </w:r>
          </w:p>
        </w:tc>
        <w:tc>
          <w:tcPr>
            <w:tcW w:type="dxa" w:w="1680"/>
            <w:tcMar>
              <w:top w:type="dxa" w:w="60"/>
              <w:left w:type="dxa" w:w="110"/>
              <w:bottom w:type="dxa" w:w="60"/>
              <w:right w:type="dxa" w:w="110"/>
            </w:tcMar>
          </w:tcPr>
          <w:p>
            <w:pPr>
              <w:spacing w:after="0" w:before="0"/>
              <w:jc w:val="right"/>
            </w:pPr>
            <w:r>
              <w:rPr>
                <w:b/>
                <w:bCs/>
                <w:sz w:val="19"/>
                <w:szCs w:val="19"/>
              </w:rPr>
              <w:t xml:space="preserve">1.317</w:t>
            </w:r>
          </w:p>
        </w:tc>
      </w:tr>
      <w:tr>
        <w:trPr>
          <w:tblHeader w:val="false"/>
        </w:trPr>
        <w:tc>
          <w:tcPr>
            <w:tcW w:type="dxa" w:w="1680"/>
            <w:tcMar>
              <w:top w:type="dxa" w:w="60"/>
              <w:left w:type="dxa" w:w="110"/>
              <w:bottom w:type="dxa" w:w="60"/>
              <w:right w:type="dxa" w:w="110"/>
            </w:tcMar>
          </w:tcPr>
          <w:p>
            <w:pPr>
              <w:spacing w:after="0" w:before="0"/>
              <w:jc w:val="left"/>
            </w:pPr>
            <w:r>
              <w:rPr>
                <w:i/>
                <w:iCs/>
                <w:sz w:val="19"/>
                <w:szCs w:val="19"/>
              </w:rPr>
              <w:t xml:space="preserve">Climatology floor</w:t>
            </w:r>
          </w:p>
        </w:tc>
        <w:tc>
          <w:tcPr>
            <w:tcW w:type="dxa" w:w="1680"/>
            <w:tcMar>
              <w:top w:type="dxa" w:w="60"/>
              <w:left w:type="dxa" w:w="110"/>
              <w:bottom w:type="dxa" w:w="60"/>
              <w:right w:type="dxa" w:w="110"/>
            </w:tcMar>
          </w:tcPr>
          <w:p>
            <w:pPr>
              <w:spacing w:after="0" w:before="0"/>
              <w:jc w:val="right"/>
            </w:pPr>
            <w:r>
              <w:rPr>
                <w:i/>
                <w:iCs/>
                <w:sz w:val="19"/>
                <w:szCs w:val="19"/>
              </w:rPr>
              <w:t xml:space="preserve">1.126</w:t>
            </w:r>
          </w:p>
        </w:tc>
        <w:tc>
          <w:tcPr>
            <w:tcW w:type="dxa" w:w="1680"/>
            <w:tcMar>
              <w:top w:type="dxa" w:w="60"/>
              <w:left w:type="dxa" w:w="110"/>
              <w:bottom w:type="dxa" w:w="60"/>
              <w:right w:type="dxa" w:w="110"/>
            </w:tcMar>
          </w:tcPr>
          <w:p>
            <w:pPr>
              <w:spacing w:after="0" w:before="0"/>
              <w:jc w:val="right"/>
            </w:pPr>
            <w:r>
              <w:rPr>
                <w:i/>
                <w:iCs/>
                <w:sz w:val="19"/>
                <w:szCs w:val="19"/>
              </w:rPr>
              <w:t xml:space="preserve">0.863</w:t>
            </w:r>
          </w:p>
        </w:tc>
        <w:tc>
          <w:tcPr>
            <w:tcW w:type="dxa" w:w="1680"/>
            <w:tcMar>
              <w:top w:type="dxa" w:w="60"/>
              <w:left w:type="dxa" w:w="110"/>
              <w:bottom w:type="dxa" w:w="60"/>
              <w:right w:type="dxa" w:w="110"/>
            </w:tcMar>
          </w:tcPr>
          <w:p>
            <w:pPr>
              <w:spacing w:after="0" w:before="0"/>
              <w:jc w:val="right"/>
            </w:pPr>
            <w:r>
              <w:rPr>
                <w:i/>
                <w:iCs/>
                <w:sz w:val="19"/>
                <w:szCs w:val="19"/>
              </w:rPr>
              <w:t xml:space="preserve">0.786</w:t>
            </w:r>
          </w:p>
        </w:tc>
        <w:tc>
          <w:tcPr>
            <w:tcW w:type="dxa" w:w="1680"/>
            <w:tcMar>
              <w:top w:type="dxa" w:w="60"/>
              <w:left w:type="dxa" w:w="110"/>
              <w:bottom w:type="dxa" w:w="60"/>
              <w:right w:type="dxa" w:w="110"/>
            </w:tcMar>
          </w:tcPr>
          <w:p>
            <w:pPr>
              <w:spacing w:after="0" w:before="0"/>
              <w:jc w:val="right"/>
            </w:pPr>
            <w:r>
              <w:rPr>
                <w:i/>
                <w:iCs/>
                <w:sz w:val="19"/>
                <w:szCs w:val="19"/>
              </w:rPr>
              <w:t xml:space="preserve">0.791</w:t>
            </w:r>
          </w:p>
        </w:tc>
        <w:tc>
          <w:tcPr>
            <w:tcW w:type="dxa" w:w="1680"/>
            <w:tcMar>
              <w:top w:type="dxa" w:w="60"/>
              <w:left w:type="dxa" w:w="110"/>
              <w:bottom w:type="dxa" w:w="60"/>
              <w:right w:type="dxa" w:w="110"/>
            </w:tcMar>
          </w:tcPr>
          <w:p>
            <w:pPr>
              <w:spacing w:after="0" w:before="0"/>
              <w:jc w:val="right"/>
            </w:pPr>
            <w:r>
              <w:rPr>
                <w:i/>
                <w:iCs/>
                <w:sz w:val="19"/>
                <w:szCs w:val="19"/>
              </w:rPr>
              <w:t xml:space="preserve">0.885</w:t>
            </w:r>
          </w:p>
        </w:tc>
      </w:tr>
    </w:tbl>
    <w:p>
      <w:pPr>
        <w:spacing w:after="100"/>
      </w:pPr>
    </w:p>
    <w:p>
      <w:pPr>
        <w:spacing w:after="200" w:before="60"/>
      </w:pPr>
      <w:r>
        <w:rPr>
          <w:b/>
          <w:bCs/>
          <w:color w:val="5A6A73"/>
          <w:sz w:val="18"/>
          <w:szCs w:val="18"/>
        </w:rPr>
        <w:t xml:space="preserve">Table 2.</w:t>
      </w:r>
      <w:r>
        <w:rPr>
          <w:color w:val="5A6A73"/>
          <w:sz w:val="18"/>
          <w:szCs w:val="18"/>
        </w:rPr>
        <w:t xml:space="preserve"> Mean MAE in °C by percentile, each value averaged over every land pixel, every held-out fold and the four seasons. Bold marks the best method at each percentile.</w:t>
      </w:r>
    </w:p>
    <w:p>
      <w:pPr>
        <w:spacing w:after="120" w:before="60"/>
        <w:jc w:val="left"/>
      </w:pPr>
      <w:r>
        <w:rPr>
          <w:sz w:val="21"/>
          <w:szCs w:val="21"/>
        </w:rPr>
        <w:t xml:space="preserve">Every method improves on the uncorrected modelled variable at every percentile, by 0.56 to 0.86 °C. Within the six methods the differences are an order of magnitude smaller.</w:t>
      </w:r>
    </w:p>
    <w:p>
      <w:pPr>
        <w:spacing w:after="120" w:before="60"/>
        <w:jc w:val="left"/>
      </w:pPr>
      <w:r>
        <w:rPr>
          <w:sz w:val="21"/>
          <w:szCs w:val="21"/>
        </w:rPr>
        <w:t xml:space="preserve">The lowest MAE is held by a different method at each percentile: Linear at P5 and P25, QUANT at P50, Polynomial at P75 and P90. The margin over the runner-up is 0.005 °C at P5, 0.004 at P25, 0.001 at P50, 0.012 at P75 and 0.018 at P90. Across the six methods the full range is 0.118 °C at P5, 0.030 at P25, 0.029 at P50, 0.015 at P75 and 0.075 at P90.</w:t>
      </w:r>
    </w:p>
    <w:p>
      <w:pPr>
        <w:spacing w:after="120" w:before="60"/>
        <w:jc w:val="left"/>
      </w:pPr>
      <w:r>
        <w:rPr>
          <w:sz w:val="21"/>
          <w:szCs w:val="21"/>
        </w:rPr>
        <w:t xml:space="preserve">Error is highest at P5 for every method, 1.617 to 1.735 °C, and lowest at P75, 1.226 to 1.241 °C. The climatology floor follows the same shape: 1.126 °C at P5 against 0.791 °C at P75.</w:t>
      </w:r>
    </w:p>
    <w:p>
      <w:pPr>
        <w:spacing w:after="120" w:before="60"/>
        <w:jc w:val="left"/>
      </w:pPr>
      <w:r>
        <w:rPr>
          <w:sz w:val="21"/>
          <w:szCs w:val="21"/>
        </w:rPr>
        <w:t xml:space="preserve">Expressed as a multiple of the floor, the linear fit sits at 1.44 at P5, 1.54 at P25, 1.65 at P50, 1.56 at P75 and 1.56 at P90. P5 carries the largest error in °C and the smallest ratio to its floor.</w:t>
      </w:r>
    </w:p>
    <w:p>
      <w:pPr>
        <w:spacing w:after="120" w:before="60"/>
        <w:jc w:val="left"/>
      </w:pPr>
      <w:r>
        <w:rPr>
          <w:sz w:val="21"/>
          <w:szCs w:val="21"/>
        </w:rPr>
        <w:t xml:space="preserve">At P5 and P90 the ranking does not follow the three families: the linear fit has the lowest MAE at P5, and the two empirical lookups, QUANT and RQUANT, have the highest.</w:t>
      </w:r>
    </w:p>
    <w:p>
      <w:pPr>
        <w:pStyle w:val="Heading2"/>
        <w:spacing w:after="120" w:before="260"/>
        <w:outlineLvl w:val="2"/>
      </w:pPr>
      <w:r>
        <w:t xml:space="preserve">Overall skill</w:t>
      </w:r>
    </w:p>
    <w:p>
      <w:pPr>
        <w:spacing w:after="80" w:before="160"/>
        <w:jc w:val="center"/>
      </w:pPr>
      <w:r>
        <w:drawing>
          <wp:inline distT="0" distB="0" distL="0" distR="0">
            <wp:extent cx="60960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1924050"/>
                    </a:xfrm>
                    <a:prstGeom prst="rect">
                      <a:avLst/>
                    </a:prstGeom>
                  </pic:spPr>
                </pic:pic>
              </a:graphicData>
            </a:graphic>
          </wp:inline>
        </w:drawing>
      </w:r>
    </w:p>
    <w:p>
      <w:pPr>
        <w:spacing w:after="200" w:before="60"/>
      </w:pPr>
      <w:r>
        <w:rPr>
          <w:b/>
          <w:bCs/>
          <w:color w:val="5A6A73"/>
          <w:sz w:val="18"/>
          <w:szCs w:val="18"/>
        </w:rPr>
        <w:t xml:space="preserve">Fig. 2.</w:t>
      </w:r>
      <w:r>
        <w:rPr>
          <w:color w:val="5A6A73"/>
          <w:sz w:val="18"/>
          <w:szCs w:val="18"/>
        </w:rPr>
        <w:t xml:space="preserve"> </w:t>
      </w:r>
      <w:r>
        <w:rPr>
          <w:i/>
          <w:iCs/>
          <w:color w:val="5A6A73"/>
          <w:sz w:val="18"/>
          <w:szCs w:val="18"/>
        </w:rPr>
        <w:t xml:space="preserve">Cross-validated mean MAE by method and season.</w:t>
      </w:r>
      <w:r>
        <w:rPr>
          <w:color w:val="5A6A73"/>
          <w:sz w:val="18"/>
          <w:szCs w:val="18"/>
        </w:rPr>
        <w:t xml:space="preserve"> One panel per season; each bar is the MAE averaged over every land pixel, every held-out fold and the five percentiles. The uncorrected modelled variable is grey. The dashed line marks the climatology floor. Data: as Fig. 1.</w:t>
      </w:r>
    </w:p>
    <w:p>
      <w:pPr>
        <w:spacing w:after="120" w:before="60"/>
        <w:jc w:val="left"/>
      </w:pPr>
      <w:r>
        <w:rPr>
          <w:sz w:val="21"/>
          <w:szCs w:val="21"/>
        </w:rPr>
        <w:t xml:space="preserve">Averaging the 20 (season, percentile) cells without weighting gives one number per method:</w:t>
      </w:r>
    </w:p>
    <w:tbl>
      <w:tblPr>
        <w:tblW w:type="dxa" w:w="10080"/>
        <w:tblBorders>
          <w:top w:val="single" w:color="D5DBDE" w:sz="2"/>
          <w:left w:val="single" w:color="D5DBDE" w:sz="2"/>
          <w:bottom w:val="single" w:color="D5DBDE" w:sz="2"/>
          <w:right w:val="single" w:color="D5DBDE" w:sz="2"/>
          <w:insideH w:val="single" w:color="D5DBDE" w:sz="2"/>
          <w:insideV w:val="single" w:color="D5DBDE" w:sz="2"/>
        </w:tblBorders>
      </w:tblPr>
      <w:tblGrid>
        <w:gridCol w:w="1440"/>
        <w:gridCol w:w="1440"/>
        <w:gridCol w:w="1440"/>
        <w:gridCol w:w="1440"/>
        <w:gridCol w:w="1440"/>
        <w:gridCol w:w="1440"/>
        <w:gridCol w:w="1440"/>
      </w:tblGrid>
      <w:tr>
        <w:trPr>
          <w:tblHeader/>
        </w:trPr>
        <w:tc>
          <w:tcPr>
            <w:tcW w:type="dxa" w:w="1440"/>
            <w:shd w:fill="F2F4F5" w:color="auto" w:val="clear"/>
            <w:tcMar>
              <w:top w:type="dxa" w:w="60"/>
              <w:left w:type="dxa" w:w="110"/>
              <w:bottom w:type="dxa" w:w="60"/>
              <w:right w:type="dxa" w:w="110"/>
            </w:tcMar>
          </w:tcPr>
          <w:p>
            <w:pPr>
              <w:spacing w:after="0" w:before="0"/>
              <w:jc w:val="left"/>
            </w:pPr>
            <w:r>
              <w:rPr>
                <w:b/>
                <w:bCs/>
                <w:sz w:val="19"/>
                <w:szCs w:val="19"/>
              </w:rPr>
              <w:t xml:space="preserve">Method</w:t>
            </w:r>
          </w:p>
        </w:tc>
        <w:tc>
          <w:tcPr>
            <w:tcW w:type="dxa" w:w="1440"/>
            <w:shd w:fill="F2F4F5" w:color="auto" w:val="clear"/>
            <w:tcMar>
              <w:top w:type="dxa" w:w="60"/>
              <w:left w:type="dxa" w:w="110"/>
              <w:bottom w:type="dxa" w:w="60"/>
              <w:right w:type="dxa" w:w="110"/>
            </w:tcMar>
          </w:tcPr>
          <w:p>
            <w:pPr>
              <w:spacing w:after="0" w:before="0"/>
              <w:jc w:val="left"/>
            </w:pPr>
            <w:r>
              <w:rPr>
                <w:b/>
                <w:bCs/>
                <w:sz w:val="19"/>
                <w:szCs w:val="19"/>
              </w:rPr>
              <w:t xml:space="preserve">MAE (°C)</w:t>
            </w:r>
          </w:p>
        </w:tc>
        <w:tc>
          <w:tcPr>
            <w:tcW w:type="dxa" w:w="1440"/>
            <w:shd w:fill="F2F4F5" w:color="auto" w:val="clear"/>
            <w:tcMar>
              <w:top w:type="dxa" w:w="60"/>
              <w:left w:type="dxa" w:w="110"/>
              <w:bottom w:type="dxa" w:w="60"/>
              <w:right w:type="dxa" w:w="110"/>
            </w:tcMar>
          </w:tcPr>
          <w:p>
            <w:pPr>
              <w:spacing w:after="0" w:before="0"/>
              <w:jc w:val="left"/>
            </w:pPr>
            <w:r>
              <w:rPr>
                <w:b/>
                <w:bCs/>
                <w:sz w:val="19"/>
                <w:szCs w:val="19"/>
              </w:rPr>
              <w:t xml:space="preserve">RMSE (°C)</w:t>
            </w:r>
          </w:p>
        </w:tc>
        <w:tc>
          <w:tcPr>
            <w:tcW w:type="dxa" w:w="1440"/>
            <w:shd w:fill="F2F4F5" w:color="auto" w:val="clear"/>
            <w:tcMar>
              <w:top w:type="dxa" w:w="60"/>
              <w:left w:type="dxa" w:w="110"/>
              <w:bottom w:type="dxa" w:w="60"/>
              <w:right w:type="dxa" w:w="110"/>
            </w:tcMar>
          </w:tcPr>
          <w:p>
            <w:pPr>
              <w:spacing w:after="0" w:before="0"/>
              <w:jc w:val="left"/>
            </w:pPr>
            <w:r>
              <w:rPr>
                <w:b/>
                <w:bCs/>
                <w:sz w:val="19"/>
                <w:szCs w:val="19"/>
              </w:rPr>
              <w:t xml:space="preserve">Bias (°C)</w:t>
            </w:r>
          </w:p>
        </w:tc>
        <w:tc>
          <w:tcPr>
            <w:tcW w:type="dxa" w:w="1440"/>
            <w:shd w:fill="F2F4F5" w:color="auto" w:val="clear"/>
            <w:tcMar>
              <w:top w:type="dxa" w:w="60"/>
              <w:left w:type="dxa" w:w="110"/>
              <w:bottom w:type="dxa" w:w="60"/>
              <w:right w:type="dxa" w:w="110"/>
            </w:tcMar>
          </w:tcPr>
          <w:p>
            <w:pPr>
              <w:spacing w:after="0" w:before="0"/>
              <w:jc w:val="left"/>
            </w:pPr>
            <w:r>
              <w:rPr>
                <w:b/>
                <w:bCs/>
                <w:i/>
                <w:iCs/>
                <w:sz w:val="19"/>
                <w:szCs w:val="19"/>
              </w:rPr>
              <w:t xml:space="preserve">r</w:t>
            </w:r>
          </w:p>
        </w:tc>
        <w:tc>
          <w:tcPr>
            <w:tcW w:type="dxa" w:w="1440"/>
            <w:shd w:fill="F2F4F5" w:color="auto" w:val="clear"/>
            <w:tcMar>
              <w:top w:type="dxa" w:w="60"/>
              <w:left w:type="dxa" w:w="110"/>
              <w:bottom w:type="dxa" w:w="60"/>
              <w:right w:type="dxa" w:w="110"/>
            </w:tcMar>
          </w:tcPr>
          <w:p>
            <w:pPr>
              <w:spacing w:after="0" w:before="0"/>
              <w:jc w:val="left"/>
            </w:pPr>
            <w:r>
              <w:rPr>
                <w:b/>
                <w:bCs/>
                <w:sz w:val="19"/>
                <w:szCs w:val="19"/>
              </w:rPr>
              <w:t xml:space="preserve">Excess over floor</w:t>
            </w:r>
          </w:p>
        </w:tc>
        <w:tc>
          <w:tcPr>
            <w:tcW w:type="dxa" w:w="1440"/>
            <w:shd w:fill="F2F4F5" w:color="auto" w:val="clear"/>
            <w:tcMar>
              <w:top w:type="dxa" w:w="60"/>
              <w:left w:type="dxa" w:w="110"/>
              <w:bottom w:type="dxa" w:w="60"/>
              <w:right w:type="dxa" w:w="110"/>
            </w:tcMar>
          </w:tcPr>
          <w:p>
            <w:pPr>
              <w:spacing w:after="0" w:before="0"/>
              <w:jc w:val="left"/>
            </w:pPr>
            <w:r>
              <w:rPr>
                <w:b/>
                <w:bCs/>
                <w:sz w:val="19"/>
                <w:szCs w:val="19"/>
              </w:rPr>
              <w:t xml:space="preserve">Removable error removed</w:t>
            </w:r>
          </w:p>
        </w:tc>
      </w:tr>
      <w:tr>
        <w:trPr>
          <w:tblHeader w:val="false"/>
        </w:trPr>
        <w:tc>
          <w:tcPr>
            <w:tcW w:type="dxa" w:w="1440"/>
            <w:tcMar>
              <w:top w:type="dxa" w:w="60"/>
              <w:left w:type="dxa" w:w="110"/>
              <w:bottom w:type="dxa" w:w="60"/>
              <w:right w:type="dxa" w:w="110"/>
            </w:tcMar>
          </w:tcPr>
          <w:p>
            <w:pPr>
              <w:spacing w:after="0" w:before="0"/>
              <w:jc w:val="left"/>
            </w:pPr>
            <w:r>
              <w:rPr>
                <w:sz w:val="19"/>
                <w:szCs w:val="19"/>
              </w:rPr>
              <w:t xml:space="preserve">Polynomial</w:t>
            </w:r>
          </w:p>
        </w:tc>
        <w:tc>
          <w:tcPr>
            <w:tcW w:type="dxa" w:w="1440"/>
            <w:tcMar>
              <w:top w:type="dxa" w:w="60"/>
              <w:left w:type="dxa" w:w="110"/>
              <w:bottom w:type="dxa" w:w="60"/>
              <w:right w:type="dxa" w:w="110"/>
            </w:tcMar>
          </w:tcPr>
          <w:p>
            <w:pPr>
              <w:spacing w:after="0" w:before="0"/>
              <w:jc w:val="right"/>
            </w:pPr>
            <w:r>
              <w:rPr>
                <w:sz w:val="19"/>
                <w:szCs w:val="19"/>
              </w:rPr>
              <w:t xml:space="preserve">1.371</w:t>
            </w:r>
          </w:p>
        </w:tc>
        <w:tc>
          <w:tcPr>
            <w:tcW w:type="dxa" w:w="1440"/>
            <w:tcMar>
              <w:top w:type="dxa" w:w="60"/>
              <w:left w:type="dxa" w:w="110"/>
              <w:bottom w:type="dxa" w:w="60"/>
              <w:right w:type="dxa" w:w="110"/>
            </w:tcMar>
          </w:tcPr>
          <w:p>
            <w:pPr>
              <w:spacing w:after="0" w:before="0"/>
              <w:jc w:val="right"/>
            </w:pPr>
            <w:r>
              <w:rPr>
                <w:sz w:val="19"/>
                <w:szCs w:val="19"/>
              </w:rPr>
              <w:t xml:space="preserve">1.686</w:t>
            </w:r>
          </w:p>
        </w:tc>
        <w:tc>
          <w:tcPr>
            <w:tcW w:type="dxa" w:w="1440"/>
            <w:tcMar>
              <w:top w:type="dxa" w:w="60"/>
              <w:left w:type="dxa" w:w="110"/>
              <w:bottom w:type="dxa" w:w="60"/>
              <w:right w:type="dxa" w:w="110"/>
            </w:tcMar>
          </w:tcPr>
          <w:p>
            <w:pPr>
              <w:spacing w:after="0" w:before="0"/>
              <w:jc w:val="right"/>
            </w:pPr>
            <w:r>
              <w:rPr>
                <w:sz w:val="19"/>
                <w:szCs w:val="19"/>
              </w:rPr>
              <w:t xml:space="preserve">+0.028</w:t>
            </w:r>
          </w:p>
        </w:tc>
        <w:tc>
          <w:tcPr>
            <w:tcW w:type="dxa" w:w="1440"/>
            <w:tcMar>
              <w:top w:type="dxa" w:w="60"/>
              <w:left w:type="dxa" w:w="110"/>
              <w:bottom w:type="dxa" w:w="60"/>
              <w:right w:type="dxa" w:w="110"/>
            </w:tcMar>
          </w:tcPr>
          <w:p>
            <w:pPr>
              <w:spacing w:after="0" w:before="0"/>
              <w:jc w:val="right"/>
            </w:pPr>
            <w:r>
              <w:rPr>
                <w:sz w:val="19"/>
                <w:szCs w:val="19"/>
              </w:rPr>
              <w:t xml:space="preserve">0.928</w:t>
            </w:r>
          </w:p>
        </w:tc>
        <w:tc>
          <w:tcPr>
            <w:tcW w:type="dxa" w:w="1440"/>
            <w:tcMar>
              <w:top w:type="dxa" w:w="60"/>
              <w:left w:type="dxa" w:w="110"/>
              <w:bottom w:type="dxa" w:w="60"/>
              <w:right w:type="dxa" w:w="110"/>
            </w:tcMar>
          </w:tcPr>
          <w:p>
            <w:pPr>
              <w:spacing w:after="0" w:before="0"/>
              <w:jc w:val="right"/>
            </w:pPr>
            <w:r>
              <w:rPr>
                <w:sz w:val="19"/>
                <w:szCs w:val="19"/>
              </w:rPr>
              <w:t xml:space="preserve">0.481</w:t>
            </w:r>
          </w:p>
        </w:tc>
        <w:tc>
          <w:tcPr>
            <w:tcW w:type="dxa" w:w="1440"/>
            <w:tcMar>
              <w:top w:type="dxa" w:w="60"/>
              <w:left w:type="dxa" w:w="110"/>
              <w:bottom w:type="dxa" w:w="60"/>
              <w:right w:type="dxa" w:w="110"/>
            </w:tcMar>
          </w:tcPr>
          <w:p>
            <w:pPr>
              <w:spacing w:after="0" w:before="0"/>
              <w:jc w:val="right"/>
            </w:pPr>
            <w:r>
              <w:rPr>
                <w:sz w:val="19"/>
                <w:szCs w:val="19"/>
              </w:rPr>
              <w:t xml:space="preserve">61.2 %</w:t>
            </w:r>
          </w:p>
        </w:tc>
      </w:tr>
      <w:tr>
        <w:trPr>
          <w:tblHeader w:val="false"/>
        </w:trPr>
        <w:tc>
          <w:tcPr>
            <w:tcW w:type="dxa" w:w="1440"/>
            <w:tcMar>
              <w:top w:type="dxa" w:w="60"/>
              <w:left w:type="dxa" w:w="110"/>
              <w:bottom w:type="dxa" w:w="60"/>
              <w:right w:type="dxa" w:w="110"/>
            </w:tcMar>
          </w:tcPr>
          <w:p>
            <w:pPr>
              <w:spacing w:after="0" w:before="0"/>
              <w:jc w:val="left"/>
            </w:pPr>
            <w:r>
              <w:rPr>
                <w:sz w:val="19"/>
                <w:szCs w:val="19"/>
              </w:rPr>
              <w:t xml:space="preserve">Linear</w:t>
            </w:r>
          </w:p>
        </w:tc>
        <w:tc>
          <w:tcPr>
            <w:tcW w:type="dxa" w:w="1440"/>
            <w:tcMar>
              <w:top w:type="dxa" w:w="60"/>
              <w:left w:type="dxa" w:w="110"/>
              <w:bottom w:type="dxa" w:w="60"/>
              <w:right w:type="dxa" w:w="110"/>
            </w:tcMar>
          </w:tcPr>
          <w:p>
            <w:pPr>
              <w:spacing w:after="0" w:before="0"/>
              <w:jc w:val="right"/>
            </w:pPr>
            <w:r>
              <w:rPr>
                <w:sz w:val="19"/>
                <w:szCs w:val="19"/>
              </w:rPr>
              <w:t xml:space="preserve">1.372</w:t>
            </w:r>
          </w:p>
        </w:tc>
        <w:tc>
          <w:tcPr>
            <w:tcW w:type="dxa" w:w="1440"/>
            <w:tcMar>
              <w:top w:type="dxa" w:w="60"/>
              <w:left w:type="dxa" w:w="110"/>
              <w:bottom w:type="dxa" w:w="60"/>
              <w:right w:type="dxa" w:w="110"/>
            </w:tcMar>
          </w:tcPr>
          <w:p>
            <w:pPr>
              <w:spacing w:after="0" w:before="0"/>
              <w:jc w:val="right"/>
            </w:pPr>
            <w:r>
              <w:rPr>
                <w:sz w:val="19"/>
                <w:szCs w:val="19"/>
              </w:rPr>
              <w:t xml:space="preserve">1.692</w:t>
            </w:r>
          </w:p>
        </w:tc>
        <w:tc>
          <w:tcPr>
            <w:tcW w:type="dxa" w:w="1440"/>
            <w:tcMar>
              <w:top w:type="dxa" w:w="60"/>
              <w:left w:type="dxa" w:w="110"/>
              <w:bottom w:type="dxa" w:w="60"/>
              <w:right w:type="dxa" w:w="110"/>
            </w:tcMar>
          </w:tcPr>
          <w:p>
            <w:pPr>
              <w:spacing w:after="0" w:before="0"/>
              <w:jc w:val="right"/>
            </w:pPr>
            <w:r>
              <w:rPr>
                <w:sz w:val="19"/>
                <w:szCs w:val="19"/>
              </w:rPr>
              <w:t xml:space="preserve">+0.020</w:t>
            </w:r>
          </w:p>
        </w:tc>
        <w:tc>
          <w:tcPr>
            <w:tcW w:type="dxa" w:w="1440"/>
            <w:tcMar>
              <w:top w:type="dxa" w:w="60"/>
              <w:left w:type="dxa" w:w="110"/>
              <w:bottom w:type="dxa" w:w="60"/>
              <w:right w:type="dxa" w:w="110"/>
            </w:tcMar>
          </w:tcPr>
          <w:p>
            <w:pPr>
              <w:spacing w:after="0" w:before="0"/>
              <w:jc w:val="right"/>
            </w:pPr>
            <w:r>
              <w:rPr>
                <w:sz w:val="19"/>
                <w:szCs w:val="19"/>
              </w:rPr>
              <w:t xml:space="preserve">0.928</w:t>
            </w:r>
          </w:p>
        </w:tc>
        <w:tc>
          <w:tcPr>
            <w:tcW w:type="dxa" w:w="1440"/>
            <w:tcMar>
              <w:top w:type="dxa" w:w="60"/>
              <w:left w:type="dxa" w:w="110"/>
              <w:bottom w:type="dxa" w:w="60"/>
              <w:right w:type="dxa" w:w="110"/>
            </w:tcMar>
          </w:tcPr>
          <w:p>
            <w:pPr>
              <w:spacing w:after="0" w:before="0"/>
              <w:jc w:val="right"/>
            </w:pPr>
            <w:r>
              <w:rPr>
                <w:sz w:val="19"/>
                <w:szCs w:val="19"/>
              </w:rPr>
              <w:t xml:space="preserve">0.482</w:t>
            </w:r>
          </w:p>
        </w:tc>
        <w:tc>
          <w:tcPr>
            <w:tcW w:type="dxa" w:w="1440"/>
            <w:tcMar>
              <w:top w:type="dxa" w:w="60"/>
              <w:left w:type="dxa" w:w="110"/>
              <w:bottom w:type="dxa" w:w="60"/>
              <w:right w:type="dxa" w:w="110"/>
            </w:tcMar>
          </w:tcPr>
          <w:p>
            <w:pPr>
              <w:spacing w:after="0" w:before="0"/>
              <w:jc w:val="right"/>
            </w:pPr>
            <w:r>
              <w:rPr>
                <w:sz w:val="19"/>
                <w:szCs w:val="19"/>
              </w:rPr>
              <w:t xml:space="preserve">61.2 %</w:t>
            </w:r>
          </w:p>
        </w:tc>
      </w:tr>
      <w:tr>
        <w:trPr>
          <w:tblHeader w:val="false"/>
        </w:trPr>
        <w:tc>
          <w:tcPr>
            <w:tcW w:type="dxa" w:w="1440"/>
            <w:tcMar>
              <w:top w:type="dxa" w:w="60"/>
              <w:left w:type="dxa" w:w="110"/>
              <w:bottom w:type="dxa" w:w="60"/>
              <w:right w:type="dxa" w:w="110"/>
            </w:tcMar>
          </w:tcPr>
          <w:p>
            <w:pPr>
              <w:spacing w:after="0" w:before="0"/>
              <w:jc w:val="left"/>
            </w:pPr>
            <w:r>
              <w:rPr>
                <w:sz w:val="19"/>
                <w:szCs w:val="19"/>
              </w:rPr>
              <w:t xml:space="preserve">Normal</w:t>
            </w:r>
          </w:p>
        </w:tc>
        <w:tc>
          <w:tcPr>
            <w:tcW w:type="dxa" w:w="1440"/>
            <w:tcMar>
              <w:top w:type="dxa" w:w="60"/>
              <w:left w:type="dxa" w:w="110"/>
              <w:bottom w:type="dxa" w:w="60"/>
              <w:right w:type="dxa" w:w="110"/>
            </w:tcMar>
          </w:tcPr>
          <w:p>
            <w:pPr>
              <w:spacing w:after="0" w:before="0"/>
              <w:jc w:val="right"/>
            </w:pPr>
            <w:r>
              <w:rPr>
                <w:sz w:val="19"/>
                <w:szCs w:val="19"/>
              </w:rPr>
              <w:t xml:space="preserve">1.376</w:t>
            </w:r>
          </w:p>
        </w:tc>
        <w:tc>
          <w:tcPr>
            <w:tcW w:type="dxa" w:w="1440"/>
            <w:tcMar>
              <w:top w:type="dxa" w:w="60"/>
              <w:left w:type="dxa" w:w="110"/>
              <w:bottom w:type="dxa" w:w="60"/>
              <w:right w:type="dxa" w:w="110"/>
            </w:tcMar>
          </w:tcPr>
          <w:p>
            <w:pPr>
              <w:spacing w:after="0" w:before="0"/>
              <w:jc w:val="right"/>
            </w:pPr>
            <w:r>
              <w:rPr>
                <w:sz w:val="19"/>
                <w:szCs w:val="19"/>
              </w:rPr>
              <w:t xml:space="preserve">1.697</w:t>
            </w:r>
          </w:p>
        </w:tc>
        <w:tc>
          <w:tcPr>
            <w:tcW w:type="dxa" w:w="1440"/>
            <w:tcMar>
              <w:top w:type="dxa" w:w="60"/>
              <w:left w:type="dxa" w:w="110"/>
              <w:bottom w:type="dxa" w:w="60"/>
              <w:right w:type="dxa" w:w="110"/>
            </w:tcMar>
          </w:tcPr>
          <w:p>
            <w:pPr>
              <w:spacing w:after="0" w:before="0"/>
              <w:jc w:val="right"/>
            </w:pPr>
            <w:r>
              <w:rPr>
                <w:sz w:val="19"/>
                <w:szCs w:val="19"/>
              </w:rPr>
              <w:t xml:space="preserve">+0.020</w:t>
            </w:r>
          </w:p>
        </w:tc>
        <w:tc>
          <w:tcPr>
            <w:tcW w:type="dxa" w:w="1440"/>
            <w:tcMar>
              <w:top w:type="dxa" w:w="60"/>
              <w:left w:type="dxa" w:w="110"/>
              <w:bottom w:type="dxa" w:w="60"/>
              <w:right w:type="dxa" w:w="110"/>
            </w:tcMar>
          </w:tcPr>
          <w:p>
            <w:pPr>
              <w:spacing w:after="0" w:before="0"/>
              <w:jc w:val="right"/>
            </w:pPr>
            <w:r>
              <w:rPr>
                <w:sz w:val="19"/>
                <w:szCs w:val="19"/>
              </w:rPr>
              <w:t xml:space="preserve">0.928</w:t>
            </w:r>
          </w:p>
        </w:tc>
        <w:tc>
          <w:tcPr>
            <w:tcW w:type="dxa" w:w="1440"/>
            <w:tcMar>
              <w:top w:type="dxa" w:w="60"/>
              <w:left w:type="dxa" w:w="110"/>
              <w:bottom w:type="dxa" w:w="60"/>
              <w:right w:type="dxa" w:w="110"/>
            </w:tcMar>
          </w:tcPr>
          <w:p>
            <w:pPr>
              <w:spacing w:after="0" w:before="0"/>
              <w:jc w:val="right"/>
            </w:pPr>
            <w:r>
              <w:rPr>
                <w:sz w:val="19"/>
                <w:szCs w:val="19"/>
              </w:rPr>
              <w:t xml:space="preserve">0.486</w:t>
            </w:r>
          </w:p>
        </w:tc>
        <w:tc>
          <w:tcPr>
            <w:tcW w:type="dxa" w:w="1440"/>
            <w:tcMar>
              <w:top w:type="dxa" w:w="60"/>
              <w:left w:type="dxa" w:w="110"/>
              <w:bottom w:type="dxa" w:w="60"/>
              <w:right w:type="dxa" w:w="110"/>
            </w:tcMar>
          </w:tcPr>
          <w:p>
            <w:pPr>
              <w:spacing w:after="0" w:before="0"/>
              <w:jc w:val="right"/>
            </w:pPr>
            <w:r>
              <w:rPr>
                <w:sz w:val="19"/>
                <w:szCs w:val="19"/>
              </w:rPr>
              <w:t xml:space="preserve">60.8 %</w:t>
            </w:r>
          </w:p>
        </w:tc>
      </w:tr>
      <w:tr>
        <w:trPr>
          <w:tblHeader w:val="false"/>
        </w:trPr>
        <w:tc>
          <w:tcPr>
            <w:tcW w:type="dxa" w:w="1440"/>
            <w:tcMar>
              <w:top w:type="dxa" w:w="60"/>
              <w:left w:type="dxa" w:w="110"/>
              <w:bottom w:type="dxa" w:w="60"/>
              <w:right w:type="dxa" w:w="110"/>
            </w:tcMar>
          </w:tcPr>
          <w:p>
            <w:pPr>
              <w:spacing w:after="0" w:before="0"/>
              <w:jc w:val="left"/>
            </w:pPr>
            <w:r>
              <w:rPr>
                <w:sz w:val="19"/>
                <w:szCs w:val="19"/>
              </w:rPr>
              <w:t xml:space="preserve">SSPLIN</w:t>
            </w:r>
          </w:p>
        </w:tc>
        <w:tc>
          <w:tcPr>
            <w:tcW w:type="dxa" w:w="1440"/>
            <w:tcMar>
              <w:top w:type="dxa" w:w="60"/>
              <w:left w:type="dxa" w:w="110"/>
              <w:bottom w:type="dxa" w:w="60"/>
              <w:right w:type="dxa" w:w="110"/>
            </w:tcMar>
          </w:tcPr>
          <w:p>
            <w:pPr>
              <w:spacing w:after="0" w:before="0"/>
              <w:jc w:val="right"/>
            </w:pPr>
            <w:r>
              <w:rPr>
                <w:sz w:val="19"/>
                <w:szCs w:val="19"/>
              </w:rPr>
              <w:t xml:space="preserve">1.376</w:t>
            </w:r>
          </w:p>
        </w:tc>
        <w:tc>
          <w:tcPr>
            <w:tcW w:type="dxa" w:w="1440"/>
            <w:tcMar>
              <w:top w:type="dxa" w:w="60"/>
              <w:left w:type="dxa" w:w="110"/>
              <w:bottom w:type="dxa" w:w="60"/>
              <w:right w:type="dxa" w:w="110"/>
            </w:tcMar>
          </w:tcPr>
          <w:p>
            <w:pPr>
              <w:spacing w:after="0" w:before="0"/>
              <w:jc w:val="right"/>
            </w:pPr>
            <w:r>
              <w:rPr>
                <w:sz w:val="19"/>
                <w:szCs w:val="19"/>
              </w:rPr>
              <w:t xml:space="preserve">1.695</w:t>
            </w:r>
          </w:p>
        </w:tc>
        <w:tc>
          <w:tcPr>
            <w:tcW w:type="dxa" w:w="1440"/>
            <w:tcMar>
              <w:top w:type="dxa" w:w="60"/>
              <w:left w:type="dxa" w:w="110"/>
              <w:bottom w:type="dxa" w:w="60"/>
              <w:right w:type="dxa" w:w="110"/>
            </w:tcMar>
          </w:tcPr>
          <w:p>
            <w:pPr>
              <w:spacing w:after="0" w:before="0"/>
              <w:jc w:val="right"/>
            </w:pPr>
            <w:r>
              <w:rPr>
                <w:sz w:val="19"/>
                <w:szCs w:val="19"/>
              </w:rPr>
              <w:t xml:space="preserve">+0.014</w:t>
            </w:r>
          </w:p>
        </w:tc>
        <w:tc>
          <w:tcPr>
            <w:tcW w:type="dxa" w:w="1440"/>
            <w:tcMar>
              <w:top w:type="dxa" w:w="60"/>
              <w:left w:type="dxa" w:w="110"/>
              <w:bottom w:type="dxa" w:w="60"/>
              <w:right w:type="dxa" w:w="110"/>
            </w:tcMar>
          </w:tcPr>
          <w:p>
            <w:pPr>
              <w:spacing w:after="0" w:before="0"/>
              <w:jc w:val="right"/>
            </w:pPr>
            <w:r>
              <w:rPr>
                <w:sz w:val="19"/>
                <w:szCs w:val="19"/>
              </w:rPr>
              <w:t xml:space="preserve">0.927</w:t>
            </w:r>
          </w:p>
        </w:tc>
        <w:tc>
          <w:tcPr>
            <w:tcW w:type="dxa" w:w="1440"/>
            <w:tcMar>
              <w:top w:type="dxa" w:w="60"/>
              <w:left w:type="dxa" w:w="110"/>
              <w:bottom w:type="dxa" w:w="60"/>
              <w:right w:type="dxa" w:w="110"/>
            </w:tcMar>
          </w:tcPr>
          <w:p>
            <w:pPr>
              <w:spacing w:after="0" w:before="0"/>
              <w:jc w:val="right"/>
            </w:pPr>
            <w:r>
              <w:rPr>
                <w:sz w:val="19"/>
                <w:szCs w:val="19"/>
              </w:rPr>
              <w:t xml:space="preserve">0.486</w:t>
            </w:r>
          </w:p>
        </w:tc>
        <w:tc>
          <w:tcPr>
            <w:tcW w:type="dxa" w:w="1440"/>
            <w:tcMar>
              <w:top w:type="dxa" w:w="60"/>
              <w:left w:type="dxa" w:w="110"/>
              <w:bottom w:type="dxa" w:w="60"/>
              <w:right w:type="dxa" w:w="110"/>
            </w:tcMar>
          </w:tcPr>
          <w:p>
            <w:pPr>
              <w:spacing w:after="0" w:before="0"/>
              <w:jc w:val="right"/>
            </w:pPr>
            <w:r>
              <w:rPr>
                <w:sz w:val="19"/>
                <w:szCs w:val="19"/>
              </w:rPr>
              <w:t xml:space="preserve">60.8 %</w:t>
            </w:r>
          </w:p>
        </w:tc>
      </w:tr>
      <w:tr>
        <w:trPr>
          <w:tblHeader w:val="false"/>
        </w:trPr>
        <w:tc>
          <w:tcPr>
            <w:tcW w:type="dxa" w:w="1440"/>
            <w:tcMar>
              <w:top w:type="dxa" w:w="60"/>
              <w:left w:type="dxa" w:w="110"/>
              <w:bottom w:type="dxa" w:w="60"/>
              <w:right w:type="dxa" w:w="110"/>
            </w:tcMar>
          </w:tcPr>
          <w:p>
            <w:pPr>
              <w:spacing w:after="0" w:before="0"/>
              <w:jc w:val="left"/>
            </w:pPr>
            <w:r>
              <w:rPr>
                <w:sz w:val="19"/>
                <w:szCs w:val="19"/>
              </w:rPr>
              <w:t xml:space="preserve">RQUANT</w:t>
            </w:r>
          </w:p>
        </w:tc>
        <w:tc>
          <w:tcPr>
            <w:tcW w:type="dxa" w:w="1440"/>
            <w:tcMar>
              <w:top w:type="dxa" w:w="60"/>
              <w:left w:type="dxa" w:w="110"/>
              <w:bottom w:type="dxa" w:w="60"/>
              <w:right w:type="dxa" w:w="110"/>
            </w:tcMar>
          </w:tcPr>
          <w:p>
            <w:pPr>
              <w:spacing w:after="0" w:before="0"/>
              <w:jc w:val="right"/>
            </w:pPr>
            <w:r>
              <w:rPr>
                <w:sz w:val="19"/>
                <w:szCs w:val="19"/>
              </w:rPr>
              <w:t xml:space="preserve">1.384</w:t>
            </w:r>
          </w:p>
        </w:tc>
        <w:tc>
          <w:tcPr>
            <w:tcW w:type="dxa" w:w="1440"/>
            <w:tcMar>
              <w:top w:type="dxa" w:w="60"/>
              <w:left w:type="dxa" w:w="110"/>
              <w:bottom w:type="dxa" w:w="60"/>
              <w:right w:type="dxa" w:w="110"/>
            </w:tcMar>
          </w:tcPr>
          <w:p>
            <w:pPr>
              <w:spacing w:after="0" w:before="0"/>
              <w:jc w:val="right"/>
            </w:pPr>
            <w:r>
              <w:rPr>
                <w:sz w:val="19"/>
                <w:szCs w:val="19"/>
              </w:rPr>
              <w:t xml:space="preserve">1.707</w:t>
            </w:r>
          </w:p>
        </w:tc>
        <w:tc>
          <w:tcPr>
            <w:tcW w:type="dxa" w:w="1440"/>
            <w:tcMar>
              <w:top w:type="dxa" w:w="60"/>
              <w:left w:type="dxa" w:w="110"/>
              <w:bottom w:type="dxa" w:w="60"/>
              <w:right w:type="dxa" w:w="110"/>
            </w:tcMar>
          </w:tcPr>
          <w:p>
            <w:pPr>
              <w:spacing w:after="0" w:before="0"/>
              <w:jc w:val="right"/>
            </w:pPr>
            <w:r>
              <w:rPr>
                <w:sz w:val="19"/>
                <w:szCs w:val="19"/>
              </w:rPr>
              <w:t xml:space="preserve">−0.011</w:t>
            </w:r>
          </w:p>
        </w:tc>
        <w:tc>
          <w:tcPr>
            <w:tcW w:type="dxa" w:w="1440"/>
            <w:tcMar>
              <w:top w:type="dxa" w:w="60"/>
              <w:left w:type="dxa" w:w="110"/>
              <w:bottom w:type="dxa" w:w="60"/>
              <w:right w:type="dxa" w:w="110"/>
            </w:tcMar>
          </w:tcPr>
          <w:p>
            <w:pPr>
              <w:spacing w:after="0" w:before="0"/>
              <w:jc w:val="right"/>
            </w:pPr>
            <w:r>
              <w:rPr>
                <w:sz w:val="19"/>
                <w:szCs w:val="19"/>
              </w:rPr>
              <w:t xml:space="preserve">0.926</w:t>
            </w:r>
          </w:p>
        </w:tc>
        <w:tc>
          <w:tcPr>
            <w:tcW w:type="dxa" w:w="1440"/>
            <w:tcMar>
              <w:top w:type="dxa" w:w="60"/>
              <w:left w:type="dxa" w:w="110"/>
              <w:bottom w:type="dxa" w:w="60"/>
              <w:right w:type="dxa" w:w="110"/>
            </w:tcMar>
          </w:tcPr>
          <w:p>
            <w:pPr>
              <w:spacing w:after="0" w:before="0"/>
              <w:jc w:val="right"/>
            </w:pPr>
            <w:r>
              <w:rPr>
                <w:sz w:val="19"/>
                <w:szCs w:val="19"/>
              </w:rPr>
              <w:t xml:space="preserve">0.493</w:t>
            </w:r>
          </w:p>
        </w:tc>
        <w:tc>
          <w:tcPr>
            <w:tcW w:type="dxa" w:w="1440"/>
            <w:tcMar>
              <w:top w:type="dxa" w:w="60"/>
              <w:left w:type="dxa" w:w="110"/>
              <w:bottom w:type="dxa" w:w="60"/>
              <w:right w:type="dxa" w:w="110"/>
            </w:tcMar>
          </w:tcPr>
          <w:p>
            <w:pPr>
              <w:spacing w:after="0" w:before="0"/>
              <w:jc w:val="right"/>
            </w:pPr>
            <w:r>
              <w:rPr>
                <w:sz w:val="19"/>
                <w:szCs w:val="19"/>
              </w:rPr>
              <w:t xml:space="preserve">60.3 %</w:t>
            </w:r>
          </w:p>
        </w:tc>
      </w:tr>
      <w:tr>
        <w:trPr>
          <w:tblHeader w:val="false"/>
        </w:trPr>
        <w:tc>
          <w:tcPr>
            <w:tcW w:type="dxa" w:w="1440"/>
            <w:tcMar>
              <w:top w:type="dxa" w:w="60"/>
              <w:left w:type="dxa" w:w="110"/>
              <w:bottom w:type="dxa" w:w="60"/>
              <w:right w:type="dxa" w:w="110"/>
            </w:tcMar>
          </w:tcPr>
          <w:p>
            <w:pPr>
              <w:spacing w:after="0" w:before="0"/>
              <w:jc w:val="left"/>
            </w:pPr>
            <w:r>
              <w:rPr>
                <w:sz w:val="19"/>
                <w:szCs w:val="19"/>
              </w:rPr>
              <w:t xml:space="preserve">QUANT</w:t>
            </w:r>
          </w:p>
        </w:tc>
        <w:tc>
          <w:tcPr>
            <w:tcW w:type="dxa" w:w="1440"/>
            <w:tcMar>
              <w:top w:type="dxa" w:w="60"/>
              <w:left w:type="dxa" w:w="110"/>
              <w:bottom w:type="dxa" w:w="60"/>
              <w:right w:type="dxa" w:w="110"/>
            </w:tcMar>
          </w:tcPr>
          <w:p>
            <w:pPr>
              <w:spacing w:after="0" w:before="0"/>
              <w:jc w:val="right"/>
            </w:pPr>
            <w:r>
              <w:rPr>
                <w:sz w:val="19"/>
                <w:szCs w:val="19"/>
              </w:rPr>
              <w:t xml:space="preserve">1.390</w:t>
            </w:r>
          </w:p>
        </w:tc>
        <w:tc>
          <w:tcPr>
            <w:tcW w:type="dxa" w:w="1440"/>
            <w:tcMar>
              <w:top w:type="dxa" w:w="60"/>
              <w:left w:type="dxa" w:w="110"/>
              <w:bottom w:type="dxa" w:w="60"/>
              <w:right w:type="dxa" w:w="110"/>
            </w:tcMar>
          </w:tcPr>
          <w:p>
            <w:pPr>
              <w:spacing w:after="0" w:before="0"/>
              <w:jc w:val="right"/>
            </w:pPr>
            <w:r>
              <w:rPr>
                <w:sz w:val="19"/>
                <w:szCs w:val="19"/>
              </w:rPr>
              <w:t xml:space="preserve">1.717</w:t>
            </w:r>
          </w:p>
        </w:tc>
        <w:tc>
          <w:tcPr>
            <w:tcW w:type="dxa" w:w="1440"/>
            <w:tcMar>
              <w:top w:type="dxa" w:w="60"/>
              <w:left w:type="dxa" w:w="110"/>
              <w:bottom w:type="dxa" w:w="60"/>
              <w:right w:type="dxa" w:w="110"/>
            </w:tcMar>
          </w:tcPr>
          <w:p>
            <w:pPr>
              <w:spacing w:after="0" w:before="0"/>
              <w:jc w:val="right"/>
            </w:pPr>
            <w:r>
              <w:rPr>
                <w:sz w:val="19"/>
                <w:szCs w:val="19"/>
              </w:rPr>
              <w:t xml:space="preserve">+0.010</w:t>
            </w:r>
          </w:p>
        </w:tc>
        <w:tc>
          <w:tcPr>
            <w:tcW w:type="dxa" w:w="1440"/>
            <w:tcMar>
              <w:top w:type="dxa" w:w="60"/>
              <w:left w:type="dxa" w:w="110"/>
              <w:bottom w:type="dxa" w:w="60"/>
              <w:right w:type="dxa" w:w="110"/>
            </w:tcMar>
          </w:tcPr>
          <w:p>
            <w:pPr>
              <w:spacing w:after="0" w:before="0"/>
              <w:jc w:val="right"/>
            </w:pPr>
            <w:r>
              <w:rPr>
                <w:sz w:val="19"/>
                <w:szCs w:val="19"/>
              </w:rPr>
              <w:t xml:space="preserve">0.925</w:t>
            </w:r>
          </w:p>
        </w:tc>
        <w:tc>
          <w:tcPr>
            <w:tcW w:type="dxa" w:w="1440"/>
            <w:tcMar>
              <w:top w:type="dxa" w:w="60"/>
              <w:left w:type="dxa" w:w="110"/>
              <w:bottom w:type="dxa" w:w="60"/>
              <w:right w:type="dxa" w:w="110"/>
            </w:tcMar>
          </w:tcPr>
          <w:p>
            <w:pPr>
              <w:spacing w:after="0" w:before="0"/>
              <w:jc w:val="right"/>
            </w:pPr>
            <w:r>
              <w:rPr>
                <w:sz w:val="19"/>
                <w:szCs w:val="19"/>
              </w:rPr>
              <w:t xml:space="preserve">0.500</w:t>
            </w:r>
          </w:p>
        </w:tc>
        <w:tc>
          <w:tcPr>
            <w:tcW w:type="dxa" w:w="1440"/>
            <w:tcMar>
              <w:top w:type="dxa" w:w="60"/>
              <w:left w:type="dxa" w:w="110"/>
              <w:bottom w:type="dxa" w:w="60"/>
              <w:right w:type="dxa" w:w="110"/>
            </w:tcMar>
          </w:tcPr>
          <w:p>
            <w:pPr>
              <w:spacing w:after="0" w:before="0"/>
              <w:jc w:val="right"/>
            </w:pPr>
            <w:r>
              <w:rPr>
                <w:sz w:val="19"/>
                <w:szCs w:val="19"/>
              </w:rPr>
              <w:t xml:space="preserve">59.7 %</w:t>
            </w:r>
          </w:p>
        </w:tc>
      </w:tr>
      <w:tr>
        <w:trPr>
          <w:tblHeader w:val="false"/>
        </w:trPr>
        <w:tc>
          <w:tcPr>
            <w:tcW w:type="dxa" w:w="1440"/>
            <w:tcMar>
              <w:top w:type="dxa" w:w="60"/>
              <w:left w:type="dxa" w:w="110"/>
              <w:bottom w:type="dxa" w:w="60"/>
              <w:right w:type="dxa" w:w="110"/>
            </w:tcMar>
          </w:tcPr>
          <w:p>
            <w:pPr>
              <w:spacing w:after="0" w:before="0"/>
              <w:jc w:val="left"/>
            </w:pPr>
            <w:r>
              <w:rPr>
                <w:sz w:val="19"/>
                <w:szCs w:val="19"/>
              </w:rPr>
              <w:t xml:space="preserve">No correction</w:t>
            </w:r>
          </w:p>
        </w:tc>
        <w:tc>
          <w:tcPr>
            <w:tcW w:type="dxa" w:w="1440"/>
            <w:tcMar>
              <w:top w:type="dxa" w:w="60"/>
              <w:left w:type="dxa" w:w="110"/>
              <w:bottom w:type="dxa" w:w="60"/>
              <w:right w:type="dxa" w:w="110"/>
            </w:tcMar>
          </w:tcPr>
          <w:p>
            <w:pPr>
              <w:spacing w:after="0" w:before="0"/>
              <w:jc w:val="right"/>
            </w:pPr>
            <w:r>
              <w:rPr>
                <w:sz w:val="19"/>
                <w:szCs w:val="19"/>
              </w:rPr>
              <w:t xml:space="preserve">2.132</w:t>
            </w:r>
          </w:p>
        </w:tc>
        <w:tc>
          <w:tcPr>
            <w:tcW w:type="dxa" w:w="1440"/>
            <w:tcMar>
              <w:top w:type="dxa" w:w="60"/>
              <w:left w:type="dxa" w:w="110"/>
              <w:bottom w:type="dxa" w:w="60"/>
              <w:right w:type="dxa" w:w="110"/>
            </w:tcMar>
          </w:tcPr>
          <w:p>
            <w:pPr>
              <w:spacing w:after="0" w:before="0"/>
              <w:jc w:val="right"/>
            </w:pPr>
            <w:r>
              <w:rPr>
                <w:sz w:val="19"/>
                <w:szCs w:val="19"/>
              </w:rPr>
              <w:t xml:space="preserve">2.788</w:t>
            </w:r>
          </w:p>
        </w:tc>
        <w:tc>
          <w:tcPr>
            <w:tcW w:type="dxa" w:w="1440"/>
            <w:tcMar>
              <w:top w:type="dxa" w:w="60"/>
              <w:left w:type="dxa" w:w="110"/>
              <w:bottom w:type="dxa" w:w="60"/>
              <w:right w:type="dxa" w:w="110"/>
            </w:tcMar>
          </w:tcPr>
          <w:p>
            <w:pPr>
              <w:spacing w:after="0" w:before="0"/>
              <w:jc w:val="right"/>
            </w:pPr>
            <w:r>
              <w:rPr>
                <w:sz w:val="19"/>
                <w:szCs w:val="19"/>
              </w:rPr>
              <w:t xml:space="preserve">+1.395</w:t>
            </w:r>
          </w:p>
        </w:tc>
        <w:tc>
          <w:tcPr>
            <w:tcW w:type="dxa" w:w="1440"/>
            <w:tcMar>
              <w:top w:type="dxa" w:w="60"/>
              <w:left w:type="dxa" w:w="110"/>
              <w:bottom w:type="dxa" w:w="60"/>
              <w:right w:type="dxa" w:w="110"/>
            </w:tcMar>
          </w:tcPr>
          <w:p>
            <w:pPr>
              <w:spacing w:after="0" w:before="0"/>
              <w:jc w:val="right"/>
            </w:pPr>
            <w:r>
              <w:rPr>
                <w:sz w:val="19"/>
                <w:szCs w:val="19"/>
              </w:rPr>
              <w:t xml:space="preserve">0.846</w:t>
            </w:r>
          </w:p>
        </w:tc>
        <w:tc>
          <w:tcPr>
            <w:tcW w:type="dxa" w:w="1440"/>
            <w:tcMar>
              <w:top w:type="dxa" w:w="60"/>
              <w:left w:type="dxa" w:w="110"/>
              <w:bottom w:type="dxa" w:w="60"/>
              <w:right w:type="dxa" w:w="110"/>
            </w:tcMar>
          </w:tcPr>
          <w:p>
            <w:pPr>
              <w:spacing w:after="0" w:before="0"/>
              <w:jc w:val="right"/>
            </w:pPr>
            <w:r>
              <w:rPr>
                <w:sz w:val="19"/>
                <w:szCs w:val="19"/>
              </w:rPr>
              <w:t xml:space="preserve">1.241</w:t>
            </w:r>
          </w:p>
        </w:tc>
        <w:tc>
          <w:tcPr>
            <w:tcW w:type="dxa" w:w="1440"/>
            <w:tcMar>
              <w:top w:type="dxa" w:w="60"/>
              <w:left w:type="dxa" w:w="110"/>
              <w:bottom w:type="dxa" w:w="60"/>
              <w:right w:type="dxa" w:w="110"/>
            </w:tcMar>
          </w:tcPr>
          <w:p>
            <w:pPr>
              <w:spacing w:after="0" w:before="0"/>
              <w:jc w:val="left"/>
            </w:pPr>
            <w:r>
              <w:rPr>
                <w:sz w:val="19"/>
                <w:szCs w:val="19"/>
              </w:rPr>
              <w:t xml:space="preserve">—</w:t>
            </w:r>
          </w:p>
        </w:tc>
      </w:tr>
    </w:tbl>
    <w:p>
      <w:pPr>
        <w:spacing w:after="100"/>
      </w:pPr>
    </w:p>
    <w:p>
      <w:pPr>
        <w:spacing w:after="200" w:before="60"/>
      </w:pPr>
      <w:r>
        <w:rPr>
          <w:b/>
          <w:bCs/>
          <w:color w:val="5A6A73"/>
          <w:sz w:val="18"/>
          <w:szCs w:val="18"/>
        </w:rPr>
        <w:t xml:space="preserve">Table 3.</w:t>
      </w:r>
      <w:r>
        <w:rPr>
          <w:color w:val="5A6A73"/>
          <w:sz w:val="18"/>
          <w:szCs w:val="18"/>
        </w:rPr>
        <w:t xml:space="preserve"> Cross-validated skill, averaged over four seasons and five percentiles. "Excess over floor" is MAE minus the climatology floor of 0.890 °C. The last column is that excess as a share of the uncorrected modelled variable's removable error.</w:t>
      </w:r>
    </w:p>
    <w:p>
      <w:pPr>
        <w:spacing w:after="120" w:before="60"/>
        <w:jc w:val="left"/>
      </w:pPr>
      <w:r>
        <w:rPr>
          <w:sz w:val="21"/>
          <w:szCs w:val="21"/>
        </w:rPr>
        <w:t xml:space="preserve">The uncorrected modelled variable is 1.395 °C too warm. Every transform removes essentially all of that systematic component, leaving residual biases of −0.011 to +0.028 °C. Spatial correlation rises from 0.846 to 0.925–0.928.</w:t>
      </w:r>
    </w:p>
    <w:p>
      <w:pPr>
        <w:spacing w:after="120" w:before="60"/>
        <w:jc w:val="left"/>
      </w:pPr>
      <w:r>
        <w:rPr>
          <w:sz w:val="21"/>
          <w:szCs w:val="21"/>
        </w:rPr>
        <w:t xml:space="preserve">MAE falls from 2.132 to 1.371 °C, a 36 % reduction in total error and 61 % of the error that was removable at all. The six transforms span 1.371 to 1.390 °C, a range of 0.019 °C, against a 0.761 °C gap between the best of them and no correction.</w:t>
      </w:r>
    </w:p>
    <w:p>
      <w:pPr>
        <w:pStyle w:val="Heading2"/>
        <w:spacing w:after="120" w:before="260"/>
        <w:outlineLvl w:val="2"/>
      </w:pPr>
      <w:r>
        <w:t xml:space="preserve">Seasonal variation</w:t>
      </w:r>
    </w:p>
    <w:tbl>
      <w:tblPr>
        <w:tblW w:type="dxa" w:w="10080"/>
        <w:tblBorders>
          <w:top w:val="single" w:color="D5DBDE" w:sz="2"/>
          <w:left w:val="single" w:color="D5DBDE" w:sz="2"/>
          <w:bottom w:val="single" w:color="D5DBDE" w:sz="2"/>
          <w:right w:val="single" w:color="D5DBDE" w:sz="2"/>
          <w:insideH w:val="single" w:color="D5DBDE" w:sz="2"/>
          <w:insideV w:val="single" w:color="D5DBDE" w:sz="2"/>
        </w:tblBorders>
      </w:tblPr>
      <w:tblGrid>
        <w:gridCol w:w="2016"/>
        <w:gridCol w:w="2016"/>
        <w:gridCol w:w="2016"/>
        <w:gridCol w:w="2016"/>
        <w:gridCol w:w="2016"/>
      </w:tblGrid>
      <w:tr>
        <w:trPr>
          <w:tblHeader/>
        </w:trPr>
        <w:tc>
          <w:tcPr>
            <w:tcW w:type="dxa" w:w="2016"/>
            <w:shd w:fill="F2F4F5" w:color="auto" w:val="clear"/>
            <w:tcMar>
              <w:top w:type="dxa" w:w="60"/>
              <w:left w:type="dxa" w:w="110"/>
              <w:bottom w:type="dxa" w:w="60"/>
              <w:right w:type="dxa" w:w="110"/>
            </w:tcMar>
          </w:tcPr>
          <w:p>
            <w:pPr>
              <w:spacing w:after="0" w:before="0"/>
              <w:jc w:val="left"/>
            </w:pPr>
            <w:r>
              <w:rPr>
                <w:b/>
                <w:bCs/>
                <w:sz w:val="19"/>
                <w:szCs w:val="19"/>
              </w:rPr>
              <w:t xml:space="preserve">Method</w:t>
            </w:r>
          </w:p>
        </w:tc>
        <w:tc>
          <w:tcPr>
            <w:tcW w:type="dxa" w:w="2016"/>
            <w:shd w:fill="F2F4F5" w:color="auto" w:val="clear"/>
            <w:tcMar>
              <w:top w:type="dxa" w:w="60"/>
              <w:left w:type="dxa" w:w="110"/>
              <w:bottom w:type="dxa" w:w="60"/>
              <w:right w:type="dxa" w:w="110"/>
            </w:tcMar>
          </w:tcPr>
          <w:p>
            <w:pPr>
              <w:spacing w:after="0" w:before="0"/>
              <w:jc w:val="left"/>
            </w:pPr>
            <w:r>
              <w:rPr>
                <w:b/>
                <w:bCs/>
                <w:sz w:val="19"/>
                <w:szCs w:val="19"/>
              </w:rPr>
              <w:t xml:space="preserve">DJF</w:t>
            </w:r>
          </w:p>
        </w:tc>
        <w:tc>
          <w:tcPr>
            <w:tcW w:type="dxa" w:w="2016"/>
            <w:shd w:fill="F2F4F5" w:color="auto" w:val="clear"/>
            <w:tcMar>
              <w:top w:type="dxa" w:w="60"/>
              <w:left w:type="dxa" w:w="110"/>
              <w:bottom w:type="dxa" w:w="60"/>
              <w:right w:type="dxa" w:w="110"/>
            </w:tcMar>
          </w:tcPr>
          <w:p>
            <w:pPr>
              <w:spacing w:after="0" w:before="0"/>
              <w:jc w:val="left"/>
            </w:pPr>
            <w:r>
              <w:rPr>
                <w:b/>
                <w:bCs/>
                <w:sz w:val="19"/>
                <w:szCs w:val="19"/>
              </w:rPr>
              <w:t xml:space="preserve">MAM</w:t>
            </w:r>
          </w:p>
        </w:tc>
        <w:tc>
          <w:tcPr>
            <w:tcW w:type="dxa" w:w="2016"/>
            <w:shd w:fill="F2F4F5" w:color="auto" w:val="clear"/>
            <w:tcMar>
              <w:top w:type="dxa" w:w="60"/>
              <w:left w:type="dxa" w:w="110"/>
              <w:bottom w:type="dxa" w:w="60"/>
              <w:right w:type="dxa" w:w="110"/>
            </w:tcMar>
          </w:tcPr>
          <w:p>
            <w:pPr>
              <w:spacing w:after="0" w:before="0"/>
              <w:jc w:val="left"/>
            </w:pPr>
            <w:r>
              <w:rPr>
                <w:b/>
                <w:bCs/>
                <w:sz w:val="19"/>
                <w:szCs w:val="19"/>
              </w:rPr>
              <w:t xml:space="preserve">JJA</w:t>
            </w:r>
          </w:p>
        </w:tc>
        <w:tc>
          <w:tcPr>
            <w:tcW w:type="dxa" w:w="2016"/>
            <w:shd w:fill="F2F4F5" w:color="auto" w:val="clear"/>
            <w:tcMar>
              <w:top w:type="dxa" w:w="60"/>
              <w:left w:type="dxa" w:w="110"/>
              <w:bottom w:type="dxa" w:w="60"/>
              <w:right w:type="dxa" w:w="110"/>
            </w:tcMar>
          </w:tcPr>
          <w:p>
            <w:pPr>
              <w:spacing w:after="0" w:before="0"/>
              <w:jc w:val="left"/>
            </w:pPr>
            <w:r>
              <w:rPr>
                <w:b/>
                <w:bCs/>
                <w:sz w:val="19"/>
                <w:szCs w:val="19"/>
              </w:rPr>
              <w:t xml:space="preserve">SON</w:t>
            </w:r>
          </w:p>
        </w:tc>
      </w:tr>
      <w:tr>
        <w:trPr>
          <w:tblHeader w:val="false"/>
        </w:trPr>
        <w:tc>
          <w:tcPr>
            <w:tcW w:type="dxa" w:w="2016"/>
            <w:tcMar>
              <w:top w:type="dxa" w:w="60"/>
              <w:left w:type="dxa" w:w="110"/>
              <w:bottom w:type="dxa" w:w="60"/>
              <w:right w:type="dxa" w:w="110"/>
            </w:tcMar>
          </w:tcPr>
          <w:p>
            <w:pPr>
              <w:spacing w:after="0" w:before="0"/>
              <w:jc w:val="left"/>
            </w:pPr>
            <w:r>
              <w:rPr>
                <w:sz w:val="19"/>
                <w:szCs w:val="19"/>
              </w:rPr>
              <w:t xml:space="preserve">No correction</w:t>
            </w:r>
          </w:p>
        </w:tc>
        <w:tc>
          <w:tcPr>
            <w:tcW w:type="dxa" w:w="2016"/>
            <w:tcMar>
              <w:top w:type="dxa" w:w="60"/>
              <w:left w:type="dxa" w:w="110"/>
              <w:bottom w:type="dxa" w:w="60"/>
              <w:right w:type="dxa" w:w="110"/>
            </w:tcMar>
          </w:tcPr>
          <w:p>
            <w:pPr>
              <w:spacing w:after="0" w:before="0"/>
              <w:jc w:val="right"/>
            </w:pPr>
            <w:r>
              <w:rPr>
                <w:sz w:val="19"/>
                <w:szCs w:val="19"/>
              </w:rPr>
              <w:t xml:space="preserve">2.148</w:t>
            </w:r>
          </w:p>
        </w:tc>
        <w:tc>
          <w:tcPr>
            <w:tcW w:type="dxa" w:w="2016"/>
            <w:tcMar>
              <w:top w:type="dxa" w:w="60"/>
              <w:left w:type="dxa" w:w="110"/>
              <w:bottom w:type="dxa" w:w="60"/>
              <w:right w:type="dxa" w:w="110"/>
            </w:tcMar>
          </w:tcPr>
          <w:p>
            <w:pPr>
              <w:spacing w:after="0" w:before="0"/>
              <w:jc w:val="right"/>
            </w:pPr>
            <w:r>
              <w:rPr>
                <w:sz w:val="19"/>
                <w:szCs w:val="19"/>
              </w:rPr>
              <w:t xml:space="preserve">2.164</w:t>
            </w:r>
          </w:p>
        </w:tc>
        <w:tc>
          <w:tcPr>
            <w:tcW w:type="dxa" w:w="2016"/>
            <w:tcMar>
              <w:top w:type="dxa" w:w="60"/>
              <w:left w:type="dxa" w:w="110"/>
              <w:bottom w:type="dxa" w:w="60"/>
              <w:right w:type="dxa" w:w="110"/>
            </w:tcMar>
          </w:tcPr>
          <w:p>
            <w:pPr>
              <w:spacing w:after="0" w:before="0"/>
              <w:jc w:val="right"/>
            </w:pPr>
            <w:r>
              <w:rPr>
                <w:sz w:val="19"/>
                <w:szCs w:val="19"/>
              </w:rPr>
              <w:t xml:space="preserve">2.136</w:t>
            </w:r>
          </w:p>
        </w:tc>
        <w:tc>
          <w:tcPr>
            <w:tcW w:type="dxa" w:w="2016"/>
            <w:tcMar>
              <w:top w:type="dxa" w:w="60"/>
              <w:left w:type="dxa" w:w="110"/>
              <w:bottom w:type="dxa" w:w="60"/>
              <w:right w:type="dxa" w:w="110"/>
            </w:tcMar>
          </w:tcPr>
          <w:p>
            <w:pPr>
              <w:spacing w:after="0" w:before="0"/>
              <w:jc w:val="right"/>
            </w:pPr>
            <w:r>
              <w:rPr>
                <w:sz w:val="19"/>
                <w:szCs w:val="19"/>
              </w:rPr>
              <w:t xml:space="preserve">2.078</w:t>
            </w:r>
          </w:p>
        </w:tc>
      </w:tr>
      <w:tr>
        <w:trPr>
          <w:tblHeader w:val="false"/>
        </w:trPr>
        <w:tc>
          <w:tcPr>
            <w:tcW w:type="dxa" w:w="2016"/>
            <w:tcMar>
              <w:top w:type="dxa" w:w="60"/>
              <w:left w:type="dxa" w:w="110"/>
              <w:bottom w:type="dxa" w:w="60"/>
              <w:right w:type="dxa" w:w="110"/>
            </w:tcMar>
          </w:tcPr>
          <w:p>
            <w:pPr>
              <w:spacing w:after="0" w:before="0"/>
              <w:jc w:val="left"/>
            </w:pPr>
            <w:r>
              <w:rPr>
                <w:sz w:val="19"/>
                <w:szCs w:val="19"/>
              </w:rPr>
              <w:t xml:space="preserve">QUANT</w:t>
            </w:r>
          </w:p>
        </w:tc>
        <w:tc>
          <w:tcPr>
            <w:tcW w:type="dxa" w:w="2016"/>
            <w:tcMar>
              <w:top w:type="dxa" w:w="60"/>
              <w:left w:type="dxa" w:w="110"/>
              <w:bottom w:type="dxa" w:w="60"/>
              <w:right w:type="dxa" w:w="110"/>
            </w:tcMar>
          </w:tcPr>
          <w:p>
            <w:pPr>
              <w:spacing w:after="0" w:before="0"/>
              <w:jc w:val="right"/>
            </w:pPr>
            <w:r>
              <w:rPr>
                <w:sz w:val="19"/>
                <w:szCs w:val="19"/>
              </w:rPr>
              <w:t xml:space="preserve">1.545</w:t>
            </w:r>
          </w:p>
        </w:tc>
        <w:tc>
          <w:tcPr>
            <w:tcW w:type="dxa" w:w="2016"/>
            <w:tcMar>
              <w:top w:type="dxa" w:w="60"/>
              <w:left w:type="dxa" w:w="110"/>
              <w:bottom w:type="dxa" w:w="60"/>
              <w:right w:type="dxa" w:w="110"/>
            </w:tcMar>
          </w:tcPr>
          <w:p>
            <w:pPr>
              <w:spacing w:after="0" w:before="0"/>
              <w:jc w:val="right"/>
            </w:pPr>
            <w:r>
              <w:rPr>
                <w:sz w:val="19"/>
                <w:szCs w:val="19"/>
              </w:rPr>
              <w:t xml:space="preserve">1.546</w:t>
            </w:r>
          </w:p>
        </w:tc>
        <w:tc>
          <w:tcPr>
            <w:tcW w:type="dxa" w:w="2016"/>
            <w:tcMar>
              <w:top w:type="dxa" w:w="60"/>
              <w:left w:type="dxa" w:w="110"/>
              <w:bottom w:type="dxa" w:w="60"/>
              <w:right w:type="dxa" w:w="110"/>
            </w:tcMar>
          </w:tcPr>
          <w:p>
            <w:pPr>
              <w:spacing w:after="0" w:before="0"/>
              <w:jc w:val="right"/>
            </w:pPr>
            <w:r>
              <w:rPr>
                <w:sz w:val="19"/>
                <w:szCs w:val="19"/>
              </w:rPr>
              <w:t xml:space="preserve">0.741</w:t>
            </w:r>
          </w:p>
        </w:tc>
        <w:tc>
          <w:tcPr>
            <w:tcW w:type="dxa" w:w="2016"/>
            <w:tcMar>
              <w:top w:type="dxa" w:w="60"/>
              <w:left w:type="dxa" w:w="110"/>
              <w:bottom w:type="dxa" w:w="60"/>
              <w:right w:type="dxa" w:w="110"/>
            </w:tcMar>
          </w:tcPr>
          <w:p>
            <w:pPr>
              <w:spacing w:after="0" w:before="0"/>
              <w:jc w:val="right"/>
            </w:pPr>
            <w:r>
              <w:rPr>
                <w:sz w:val="19"/>
                <w:szCs w:val="19"/>
              </w:rPr>
              <w:t xml:space="preserve">1.730</w:t>
            </w:r>
          </w:p>
        </w:tc>
      </w:tr>
      <w:tr>
        <w:trPr>
          <w:tblHeader w:val="false"/>
        </w:trPr>
        <w:tc>
          <w:tcPr>
            <w:tcW w:type="dxa" w:w="2016"/>
            <w:tcMar>
              <w:top w:type="dxa" w:w="60"/>
              <w:left w:type="dxa" w:w="110"/>
              <w:bottom w:type="dxa" w:w="60"/>
              <w:right w:type="dxa" w:w="110"/>
            </w:tcMar>
          </w:tcPr>
          <w:p>
            <w:pPr>
              <w:spacing w:after="0" w:before="0"/>
              <w:jc w:val="left"/>
            </w:pPr>
            <w:r>
              <w:rPr>
                <w:sz w:val="19"/>
                <w:szCs w:val="19"/>
              </w:rPr>
              <w:t xml:space="preserve">RQUANT</w:t>
            </w:r>
          </w:p>
        </w:tc>
        <w:tc>
          <w:tcPr>
            <w:tcW w:type="dxa" w:w="2016"/>
            <w:tcMar>
              <w:top w:type="dxa" w:w="60"/>
              <w:left w:type="dxa" w:w="110"/>
              <w:bottom w:type="dxa" w:w="60"/>
              <w:right w:type="dxa" w:w="110"/>
            </w:tcMar>
          </w:tcPr>
          <w:p>
            <w:pPr>
              <w:spacing w:after="0" w:before="0"/>
              <w:jc w:val="right"/>
            </w:pPr>
            <w:r>
              <w:rPr>
                <w:sz w:val="19"/>
                <w:szCs w:val="19"/>
              </w:rPr>
              <w:t xml:space="preserve">1.545</w:t>
            </w:r>
          </w:p>
        </w:tc>
        <w:tc>
          <w:tcPr>
            <w:tcW w:type="dxa" w:w="2016"/>
            <w:tcMar>
              <w:top w:type="dxa" w:w="60"/>
              <w:left w:type="dxa" w:w="110"/>
              <w:bottom w:type="dxa" w:w="60"/>
              <w:right w:type="dxa" w:w="110"/>
            </w:tcMar>
          </w:tcPr>
          <w:p>
            <w:pPr>
              <w:spacing w:after="0" w:before="0"/>
              <w:jc w:val="right"/>
            </w:pPr>
            <w:r>
              <w:rPr>
                <w:sz w:val="19"/>
                <w:szCs w:val="19"/>
              </w:rPr>
              <w:t xml:space="preserve">1.544</w:t>
            </w:r>
          </w:p>
        </w:tc>
        <w:tc>
          <w:tcPr>
            <w:tcW w:type="dxa" w:w="2016"/>
            <w:tcMar>
              <w:top w:type="dxa" w:w="60"/>
              <w:left w:type="dxa" w:w="110"/>
              <w:bottom w:type="dxa" w:w="60"/>
              <w:right w:type="dxa" w:w="110"/>
            </w:tcMar>
          </w:tcPr>
          <w:p>
            <w:pPr>
              <w:spacing w:after="0" w:before="0"/>
              <w:jc w:val="right"/>
            </w:pPr>
            <w:r>
              <w:rPr>
                <w:sz w:val="19"/>
                <w:szCs w:val="19"/>
              </w:rPr>
              <w:t xml:space="preserve">0.739</w:t>
            </w:r>
          </w:p>
        </w:tc>
        <w:tc>
          <w:tcPr>
            <w:tcW w:type="dxa" w:w="2016"/>
            <w:tcMar>
              <w:top w:type="dxa" w:w="60"/>
              <w:left w:type="dxa" w:w="110"/>
              <w:bottom w:type="dxa" w:w="60"/>
              <w:right w:type="dxa" w:w="110"/>
            </w:tcMar>
          </w:tcPr>
          <w:p>
            <w:pPr>
              <w:spacing w:after="0" w:before="0"/>
              <w:jc w:val="right"/>
            </w:pPr>
            <w:r>
              <w:rPr>
                <w:sz w:val="19"/>
                <w:szCs w:val="19"/>
              </w:rPr>
              <w:t xml:space="preserve">1.707</w:t>
            </w:r>
          </w:p>
        </w:tc>
      </w:tr>
      <w:tr>
        <w:trPr>
          <w:tblHeader w:val="false"/>
        </w:trPr>
        <w:tc>
          <w:tcPr>
            <w:tcW w:type="dxa" w:w="2016"/>
            <w:tcMar>
              <w:top w:type="dxa" w:w="60"/>
              <w:left w:type="dxa" w:w="110"/>
              <w:bottom w:type="dxa" w:w="60"/>
              <w:right w:type="dxa" w:w="110"/>
            </w:tcMar>
          </w:tcPr>
          <w:p>
            <w:pPr>
              <w:spacing w:after="0" w:before="0"/>
              <w:jc w:val="left"/>
            </w:pPr>
            <w:r>
              <w:rPr>
                <w:sz w:val="19"/>
                <w:szCs w:val="19"/>
              </w:rPr>
              <w:t xml:space="preserve">Normal</w:t>
            </w:r>
          </w:p>
        </w:tc>
        <w:tc>
          <w:tcPr>
            <w:tcW w:type="dxa" w:w="2016"/>
            <w:tcMar>
              <w:top w:type="dxa" w:w="60"/>
              <w:left w:type="dxa" w:w="110"/>
              <w:bottom w:type="dxa" w:w="60"/>
              <w:right w:type="dxa" w:w="110"/>
            </w:tcMar>
          </w:tcPr>
          <w:p>
            <w:pPr>
              <w:spacing w:after="0" w:before="0"/>
              <w:jc w:val="right"/>
            </w:pPr>
            <w:r>
              <w:rPr>
                <w:sz w:val="19"/>
                <w:szCs w:val="19"/>
              </w:rPr>
              <w:t xml:space="preserve">1.523</w:t>
            </w:r>
          </w:p>
        </w:tc>
        <w:tc>
          <w:tcPr>
            <w:tcW w:type="dxa" w:w="2016"/>
            <w:tcMar>
              <w:top w:type="dxa" w:w="60"/>
              <w:left w:type="dxa" w:w="110"/>
              <w:bottom w:type="dxa" w:w="60"/>
              <w:right w:type="dxa" w:w="110"/>
            </w:tcMar>
          </w:tcPr>
          <w:p>
            <w:pPr>
              <w:spacing w:after="0" w:before="0"/>
              <w:jc w:val="right"/>
            </w:pPr>
            <w:r>
              <w:rPr>
                <w:sz w:val="19"/>
                <w:szCs w:val="19"/>
              </w:rPr>
              <w:t xml:space="preserve">1.565</w:t>
            </w:r>
          </w:p>
        </w:tc>
        <w:tc>
          <w:tcPr>
            <w:tcW w:type="dxa" w:w="2016"/>
            <w:tcMar>
              <w:top w:type="dxa" w:w="60"/>
              <w:left w:type="dxa" w:w="110"/>
              <w:bottom w:type="dxa" w:w="60"/>
              <w:right w:type="dxa" w:w="110"/>
            </w:tcMar>
          </w:tcPr>
          <w:p>
            <w:pPr>
              <w:spacing w:after="0" w:before="0"/>
              <w:jc w:val="right"/>
            </w:pPr>
            <w:r>
              <w:rPr>
                <w:sz w:val="19"/>
                <w:szCs w:val="19"/>
              </w:rPr>
              <w:t xml:space="preserve">0.748</w:t>
            </w:r>
          </w:p>
        </w:tc>
        <w:tc>
          <w:tcPr>
            <w:tcW w:type="dxa" w:w="2016"/>
            <w:tcMar>
              <w:top w:type="dxa" w:w="60"/>
              <w:left w:type="dxa" w:w="110"/>
              <w:bottom w:type="dxa" w:w="60"/>
              <w:right w:type="dxa" w:w="110"/>
            </w:tcMar>
          </w:tcPr>
          <w:p>
            <w:pPr>
              <w:spacing w:after="0" w:before="0"/>
              <w:jc w:val="right"/>
            </w:pPr>
            <w:r>
              <w:rPr>
                <w:sz w:val="19"/>
                <w:szCs w:val="19"/>
              </w:rPr>
              <w:t xml:space="preserve">1.670</w:t>
            </w:r>
          </w:p>
        </w:tc>
      </w:tr>
      <w:tr>
        <w:trPr>
          <w:tblHeader w:val="false"/>
        </w:trPr>
        <w:tc>
          <w:tcPr>
            <w:tcW w:type="dxa" w:w="2016"/>
            <w:tcMar>
              <w:top w:type="dxa" w:w="60"/>
              <w:left w:type="dxa" w:w="110"/>
              <w:bottom w:type="dxa" w:w="60"/>
              <w:right w:type="dxa" w:w="110"/>
            </w:tcMar>
          </w:tcPr>
          <w:p>
            <w:pPr>
              <w:spacing w:after="0" w:before="0"/>
              <w:jc w:val="left"/>
            </w:pPr>
            <w:r>
              <w:rPr>
                <w:sz w:val="19"/>
                <w:szCs w:val="19"/>
              </w:rPr>
              <w:t xml:space="preserve">SSPLIN</w:t>
            </w:r>
          </w:p>
        </w:tc>
        <w:tc>
          <w:tcPr>
            <w:tcW w:type="dxa" w:w="2016"/>
            <w:tcMar>
              <w:top w:type="dxa" w:w="60"/>
              <w:left w:type="dxa" w:w="110"/>
              <w:bottom w:type="dxa" w:w="60"/>
              <w:right w:type="dxa" w:w="110"/>
            </w:tcMar>
          </w:tcPr>
          <w:p>
            <w:pPr>
              <w:spacing w:after="0" w:before="0"/>
              <w:jc w:val="right"/>
            </w:pPr>
            <w:r>
              <w:rPr>
                <w:sz w:val="19"/>
                <w:szCs w:val="19"/>
              </w:rPr>
              <w:t xml:space="preserve">1.532</w:t>
            </w:r>
          </w:p>
        </w:tc>
        <w:tc>
          <w:tcPr>
            <w:tcW w:type="dxa" w:w="2016"/>
            <w:tcMar>
              <w:top w:type="dxa" w:w="60"/>
              <w:left w:type="dxa" w:w="110"/>
              <w:bottom w:type="dxa" w:w="60"/>
              <w:right w:type="dxa" w:w="110"/>
            </w:tcMar>
          </w:tcPr>
          <w:p>
            <w:pPr>
              <w:spacing w:after="0" w:before="0"/>
              <w:jc w:val="right"/>
            </w:pPr>
            <w:r>
              <w:rPr>
                <w:sz w:val="19"/>
                <w:szCs w:val="19"/>
              </w:rPr>
              <w:t xml:space="preserve">1.548</w:t>
            </w:r>
          </w:p>
        </w:tc>
        <w:tc>
          <w:tcPr>
            <w:tcW w:type="dxa" w:w="2016"/>
            <w:tcMar>
              <w:top w:type="dxa" w:w="60"/>
              <w:left w:type="dxa" w:w="110"/>
              <w:bottom w:type="dxa" w:w="60"/>
              <w:right w:type="dxa" w:w="110"/>
            </w:tcMar>
          </w:tcPr>
          <w:p>
            <w:pPr>
              <w:spacing w:after="0" w:before="0"/>
              <w:jc w:val="right"/>
            </w:pPr>
            <w:r>
              <w:rPr>
                <w:sz w:val="19"/>
                <w:szCs w:val="19"/>
              </w:rPr>
              <w:t xml:space="preserve">0.737</w:t>
            </w:r>
          </w:p>
        </w:tc>
        <w:tc>
          <w:tcPr>
            <w:tcW w:type="dxa" w:w="2016"/>
            <w:tcMar>
              <w:top w:type="dxa" w:w="60"/>
              <w:left w:type="dxa" w:w="110"/>
              <w:bottom w:type="dxa" w:w="60"/>
              <w:right w:type="dxa" w:w="110"/>
            </w:tcMar>
          </w:tcPr>
          <w:p>
            <w:pPr>
              <w:spacing w:after="0" w:before="0"/>
              <w:jc w:val="right"/>
            </w:pPr>
            <w:r>
              <w:rPr>
                <w:sz w:val="19"/>
                <w:szCs w:val="19"/>
              </w:rPr>
              <w:t xml:space="preserve">1.689</w:t>
            </w:r>
          </w:p>
        </w:tc>
      </w:tr>
      <w:tr>
        <w:trPr>
          <w:tblHeader w:val="false"/>
        </w:trPr>
        <w:tc>
          <w:tcPr>
            <w:tcW w:type="dxa" w:w="2016"/>
            <w:tcMar>
              <w:top w:type="dxa" w:w="60"/>
              <w:left w:type="dxa" w:w="110"/>
              <w:bottom w:type="dxa" w:w="60"/>
              <w:right w:type="dxa" w:w="110"/>
            </w:tcMar>
          </w:tcPr>
          <w:p>
            <w:pPr>
              <w:spacing w:after="0" w:before="0"/>
              <w:jc w:val="left"/>
            </w:pPr>
            <w:r>
              <w:rPr>
                <w:sz w:val="19"/>
                <w:szCs w:val="19"/>
              </w:rPr>
              <w:t xml:space="preserve">Linear</w:t>
            </w:r>
          </w:p>
        </w:tc>
        <w:tc>
          <w:tcPr>
            <w:tcW w:type="dxa" w:w="2016"/>
            <w:tcMar>
              <w:top w:type="dxa" w:w="60"/>
              <w:left w:type="dxa" w:w="110"/>
              <w:bottom w:type="dxa" w:w="60"/>
              <w:right w:type="dxa" w:w="110"/>
            </w:tcMar>
          </w:tcPr>
          <w:p>
            <w:pPr>
              <w:spacing w:after="0" w:before="0"/>
              <w:jc w:val="right"/>
            </w:pPr>
            <w:r>
              <w:rPr>
                <w:b/>
                <w:bCs/>
                <w:sz w:val="19"/>
                <w:szCs w:val="19"/>
              </w:rPr>
              <w:t xml:space="preserve">1.519</w:t>
            </w:r>
          </w:p>
        </w:tc>
        <w:tc>
          <w:tcPr>
            <w:tcW w:type="dxa" w:w="2016"/>
            <w:tcMar>
              <w:top w:type="dxa" w:w="60"/>
              <w:left w:type="dxa" w:w="110"/>
              <w:bottom w:type="dxa" w:w="60"/>
              <w:right w:type="dxa" w:w="110"/>
            </w:tcMar>
          </w:tcPr>
          <w:p>
            <w:pPr>
              <w:spacing w:after="0" w:before="0"/>
              <w:jc w:val="right"/>
            </w:pPr>
            <w:r>
              <w:rPr>
                <w:sz w:val="19"/>
                <w:szCs w:val="19"/>
              </w:rPr>
              <w:t xml:space="preserve">1.563</w:t>
            </w:r>
          </w:p>
        </w:tc>
        <w:tc>
          <w:tcPr>
            <w:tcW w:type="dxa" w:w="2016"/>
            <w:tcMar>
              <w:top w:type="dxa" w:w="60"/>
              <w:left w:type="dxa" w:w="110"/>
              <w:bottom w:type="dxa" w:w="60"/>
              <w:right w:type="dxa" w:w="110"/>
            </w:tcMar>
          </w:tcPr>
          <w:p>
            <w:pPr>
              <w:spacing w:after="0" w:before="0"/>
              <w:jc w:val="right"/>
            </w:pPr>
            <w:r>
              <w:rPr>
                <w:sz w:val="19"/>
                <w:szCs w:val="19"/>
              </w:rPr>
              <w:t xml:space="preserve">0.745</w:t>
            </w:r>
          </w:p>
        </w:tc>
        <w:tc>
          <w:tcPr>
            <w:tcW w:type="dxa" w:w="2016"/>
            <w:tcMar>
              <w:top w:type="dxa" w:w="60"/>
              <w:left w:type="dxa" w:w="110"/>
              <w:bottom w:type="dxa" w:w="60"/>
              <w:right w:type="dxa" w:w="110"/>
            </w:tcMar>
          </w:tcPr>
          <w:p>
            <w:pPr>
              <w:spacing w:after="0" w:before="0"/>
              <w:jc w:val="right"/>
            </w:pPr>
            <w:r>
              <w:rPr>
                <w:b/>
                <w:bCs/>
                <w:sz w:val="19"/>
                <w:szCs w:val="19"/>
              </w:rPr>
              <w:t xml:space="preserve">1.661</w:t>
            </w:r>
          </w:p>
        </w:tc>
      </w:tr>
      <w:tr>
        <w:trPr>
          <w:tblHeader w:val="false"/>
        </w:trPr>
        <w:tc>
          <w:tcPr>
            <w:tcW w:type="dxa" w:w="2016"/>
            <w:tcMar>
              <w:top w:type="dxa" w:w="60"/>
              <w:left w:type="dxa" w:w="110"/>
              <w:bottom w:type="dxa" w:w="60"/>
              <w:right w:type="dxa" w:w="110"/>
            </w:tcMar>
          </w:tcPr>
          <w:p>
            <w:pPr>
              <w:spacing w:after="0" w:before="0"/>
              <w:jc w:val="left"/>
            </w:pPr>
            <w:r>
              <w:rPr>
                <w:sz w:val="19"/>
                <w:szCs w:val="19"/>
              </w:rPr>
              <w:t xml:space="preserve">Polynomial</w:t>
            </w:r>
          </w:p>
        </w:tc>
        <w:tc>
          <w:tcPr>
            <w:tcW w:type="dxa" w:w="2016"/>
            <w:tcMar>
              <w:top w:type="dxa" w:w="60"/>
              <w:left w:type="dxa" w:w="110"/>
              <w:bottom w:type="dxa" w:w="60"/>
              <w:right w:type="dxa" w:w="110"/>
            </w:tcMar>
          </w:tcPr>
          <w:p>
            <w:pPr>
              <w:spacing w:after="0" w:before="0"/>
              <w:jc w:val="right"/>
            </w:pPr>
            <w:r>
              <w:rPr>
                <w:sz w:val="19"/>
                <w:szCs w:val="19"/>
              </w:rPr>
              <w:t xml:space="preserve">1.532</w:t>
            </w:r>
          </w:p>
        </w:tc>
        <w:tc>
          <w:tcPr>
            <w:tcW w:type="dxa" w:w="2016"/>
            <w:tcMar>
              <w:top w:type="dxa" w:w="60"/>
              <w:left w:type="dxa" w:w="110"/>
              <w:bottom w:type="dxa" w:w="60"/>
              <w:right w:type="dxa" w:w="110"/>
            </w:tcMar>
          </w:tcPr>
          <w:p>
            <w:pPr>
              <w:spacing w:after="0" w:before="0"/>
              <w:jc w:val="right"/>
            </w:pPr>
            <w:r>
              <w:rPr>
                <w:sz w:val="19"/>
                <w:szCs w:val="19"/>
              </w:rPr>
              <w:t xml:space="preserve">1.554</w:t>
            </w:r>
          </w:p>
        </w:tc>
        <w:tc>
          <w:tcPr>
            <w:tcW w:type="dxa" w:w="2016"/>
            <w:tcMar>
              <w:top w:type="dxa" w:w="60"/>
              <w:left w:type="dxa" w:w="110"/>
              <w:bottom w:type="dxa" w:w="60"/>
              <w:right w:type="dxa" w:w="110"/>
            </w:tcMar>
          </w:tcPr>
          <w:p>
            <w:pPr>
              <w:spacing w:after="0" w:before="0"/>
              <w:jc w:val="right"/>
            </w:pPr>
            <w:r>
              <w:rPr>
                <w:b/>
                <w:bCs/>
                <w:sz w:val="19"/>
                <w:szCs w:val="19"/>
              </w:rPr>
              <w:t xml:space="preserve">0.735</w:t>
            </w:r>
          </w:p>
        </w:tc>
        <w:tc>
          <w:tcPr>
            <w:tcW w:type="dxa" w:w="2016"/>
            <w:tcMar>
              <w:top w:type="dxa" w:w="60"/>
              <w:left w:type="dxa" w:w="110"/>
              <w:bottom w:type="dxa" w:w="60"/>
              <w:right w:type="dxa" w:w="110"/>
            </w:tcMar>
          </w:tcPr>
          <w:p>
            <w:pPr>
              <w:spacing w:after="0" w:before="0"/>
              <w:jc w:val="right"/>
            </w:pPr>
            <w:r>
              <w:rPr>
                <w:sz w:val="19"/>
                <w:szCs w:val="19"/>
              </w:rPr>
              <w:t xml:space="preserve">1.664</w:t>
            </w:r>
          </w:p>
        </w:tc>
      </w:tr>
      <w:tr>
        <w:trPr>
          <w:tblHeader w:val="false"/>
        </w:trPr>
        <w:tc>
          <w:tcPr>
            <w:tcW w:type="dxa" w:w="2016"/>
            <w:tcMar>
              <w:top w:type="dxa" w:w="60"/>
              <w:left w:type="dxa" w:w="110"/>
              <w:bottom w:type="dxa" w:w="60"/>
              <w:right w:type="dxa" w:w="110"/>
            </w:tcMar>
          </w:tcPr>
          <w:p>
            <w:pPr>
              <w:spacing w:after="0" w:before="0"/>
              <w:jc w:val="left"/>
            </w:pPr>
            <w:r>
              <w:rPr>
                <w:i/>
                <w:iCs/>
                <w:sz w:val="19"/>
                <w:szCs w:val="19"/>
              </w:rPr>
              <w:t xml:space="preserve">Climatology floor</w:t>
            </w:r>
          </w:p>
        </w:tc>
        <w:tc>
          <w:tcPr>
            <w:tcW w:type="dxa" w:w="2016"/>
            <w:tcMar>
              <w:top w:type="dxa" w:w="60"/>
              <w:left w:type="dxa" w:w="110"/>
              <w:bottom w:type="dxa" w:w="60"/>
              <w:right w:type="dxa" w:w="110"/>
            </w:tcMar>
          </w:tcPr>
          <w:p>
            <w:pPr>
              <w:spacing w:after="0" w:before="0"/>
              <w:jc w:val="right"/>
            </w:pPr>
            <w:r>
              <w:rPr>
                <w:i/>
                <w:iCs/>
                <w:sz w:val="19"/>
                <w:szCs w:val="19"/>
              </w:rPr>
              <w:t xml:space="preserve">1.121</w:t>
            </w:r>
          </w:p>
        </w:tc>
        <w:tc>
          <w:tcPr>
            <w:tcW w:type="dxa" w:w="2016"/>
            <w:tcMar>
              <w:top w:type="dxa" w:w="60"/>
              <w:left w:type="dxa" w:w="110"/>
              <w:bottom w:type="dxa" w:w="60"/>
              <w:right w:type="dxa" w:w="110"/>
            </w:tcMar>
          </w:tcPr>
          <w:p>
            <w:pPr>
              <w:spacing w:after="0" w:before="0"/>
              <w:jc w:val="right"/>
            </w:pPr>
            <w:r>
              <w:rPr>
                <w:i/>
                <w:iCs/>
                <w:sz w:val="19"/>
                <w:szCs w:val="19"/>
              </w:rPr>
              <w:t xml:space="preserve">0.932</w:t>
            </w:r>
          </w:p>
        </w:tc>
        <w:tc>
          <w:tcPr>
            <w:tcW w:type="dxa" w:w="2016"/>
            <w:tcMar>
              <w:top w:type="dxa" w:w="60"/>
              <w:left w:type="dxa" w:w="110"/>
              <w:bottom w:type="dxa" w:w="60"/>
              <w:right w:type="dxa" w:w="110"/>
            </w:tcMar>
          </w:tcPr>
          <w:p>
            <w:pPr>
              <w:spacing w:after="0" w:before="0"/>
              <w:jc w:val="right"/>
            </w:pPr>
            <w:r>
              <w:rPr>
                <w:i/>
                <w:iCs/>
                <w:sz w:val="19"/>
                <w:szCs w:val="19"/>
              </w:rPr>
              <w:t xml:space="preserve">0.527</w:t>
            </w:r>
          </w:p>
        </w:tc>
        <w:tc>
          <w:tcPr>
            <w:tcW w:type="dxa" w:w="2016"/>
            <w:tcMar>
              <w:top w:type="dxa" w:w="60"/>
              <w:left w:type="dxa" w:w="110"/>
              <w:bottom w:type="dxa" w:w="60"/>
              <w:right w:type="dxa" w:w="110"/>
            </w:tcMar>
          </w:tcPr>
          <w:p>
            <w:pPr>
              <w:spacing w:after="0" w:before="0"/>
              <w:jc w:val="right"/>
            </w:pPr>
            <w:r>
              <w:rPr>
                <w:i/>
                <w:iCs/>
                <w:sz w:val="19"/>
                <w:szCs w:val="19"/>
              </w:rPr>
              <w:t xml:space="preserve">0.980</w:t>
            </w:r>
          </w:p>
        </w:tc>
      </w:tr>
    </w:tbl>
    <w:p>
      <w:pPr>
        <w:spacing w:after="100"/>
      </w:pPr>
    </w:p>
    <w:p>
      <w:pPr>
        <w:spacing w:after="200" w:before="60"/>
      </w:pPr>
      <w:r>
        <w:rPr>
          <w:b/>
          <w:bCs/>
          <w:color w:val="5A6A73"/>
          <w:sz w:val="18"/>
          <w:szCs w:val="18"/>
        </w:rPr>
        <w:t xml:space="preserve">Table 4.</w:t>
      </w:r>
      <w:r>
        <w:rPr>
          <w:color w:val="5A6A73"/>
          <w:sz w:val="18"/>
          <w:szCs w:val="18"/>
        </w:rPr>
        <w:t xml:space="preserve"> Mean MAE in °C by season, each value averaged over every land pixel, every held-out fold and the five percentiles.</w:t>
      </w:r>
    </w:p>
    <w:p>
      <w:pPr>
        <w:spacing w:after="120" w:before="60"/>
        <w:jc w:val="left"/>
      </w:pPr>
      <w:r>
        <w:rPr>
          <w:sz w:val="21"/>
          <w:szCs w:val="21"/>
        </w:rPr>
        <w:t xml:space="preserve">The uncorrected error is nearly flat across seasons, 2.078 to 2.164 °C. After correction JJA falls to 0.735–0.748 °C while the other seasons sit at 1.519 to 1.730 °C. The floors are 0.527 °C in JJA against 1.121 °C in DJF. Relative to their own floors the seasons are similar: the linear fit is at 1.36 times the floor in DJF and 1.41 in JJA.</w:t>
      </w:r>
    </w:p>
    <w:p>
      <w:pPr>
        <w:pStyle w:val="Heading2"/>
        <w:spacing w:after="120" w:before="260"/>
        <w:outlineLvl w:val="2"/>
      </w:pPr>
      <w:r>
        <w:t xml:space="preserve">Autumn cold extremes</w:t>
      </w:r>
    </w:p>
    <w:tbl>
      <w:tblPr>
        <w:tblW w:type="dxa" w:w="10080"/>
        <w:tblBorders>
          <w:top w:val="single" w:color="D5DBDE" w:sz="2"/>
          <w:left w:val="single" w:color="D5DBDE" w:sz="2"/>
          <w:bottom w:val="single" w:color="D5DBDE" w:sz="2"/>
          <w:right w:val="single" w:color="D5DBDE" w:sz="2"/>
          <w:insideH w:val="single" w:color="D5DBDE" w:sz="2"/>
          <w:insideV w:val="single" w:color="D5DBDE" w:sz="2"/>
        </w:tblBorders>
      </w:tblPr>
      <w:tblGrid>
        <w:gridCol w:w="3360"/>
        <w:gridCol w:w="3360"/>
        <w:gridCol w:w="3360"/>
      </w:tblGrid>
      <w:tr>
        <w:trPr>
          <w:tblHeader/>
        </w:trPr>
        <w:tc>
          <w:tcPr>
            <w:tcW w:type="dxa" w:w="3360"/>
            <w:shd w:fill="F2F4F5" w:color="auto" w:val="clear"/>
            <w:tcMar>
              <w:top w:type="dxa" w:w="60"/>
              <w:left w:type="dxa" w:w="110"/>
              <w:bottom w:type="dxa" w:w="60"/>
              <w:right w:type="dxa" w:w="110"/>
            </w:tcMar>
          </w:tcPr>
          <w:p>
            <w:pPr>
              <w:spacing w:after="0" w:before="0"/>
              <w:jc w:val="left"/>
            </w:pPr>
            <w:r>
              <w:rPr>
                <w:b/>
                <w:bCs/>
                <w:sz w:val="19"/>
                <w:szCs w:val="19"/>
              </w:rPr>
              <w:t xml:space="preserve">Method</w:t>
            </w:r>
          </w:p>
        </w:tc>
        <w:tc>
          <w:tcPr>
            <w:tcW w:type="dxa" w:w="3360"/>
            <w:shd w:fill="F2F4F5" w:color="auto" w:val="clear"/>
            <w:tcMar>
              <w:top w:type="dxa" w:w="60"/>
              <w:left w:type="dxa" w:w="110"/>
              <w:bottom w:type="dxa" w:w="60"/>
              <w:right w:type="dxa" w:w="110"/>
            </w:tcMar>
          </w:tcPr>
          <w:p>
            <w:pPr>
              <w:spacing w:after="0" w:before="0"/>
              <w:jc w:val="left"/>
            </w:pPr>
            <w:r>
              <w:rPr>
                <w:b/>
                <w:bCs/>
                <w:sz w:val="19"/>
                <w:szCs w:val="19"/>
              </w:rPr>
              <w:t xml:space="preserve">MAE (°C)</w:t>
            </w:r>
          </w:p>
        </w:tc>
        <w:tc>
          <w:tcPr>
            <w:tcW w:type="dxa" w:w="3360"/>
            <w:shd w:fill="F2F4F5" w:color="auto" w:val="clear"/>
            <w:tcMar>
              <w:top w:type="dxa" w:w="60"/>
              <w:left w:type="dxa" w:w="110"/>
              <w:bottom w:type="dxa" w:w="60"/>
              <w:right w:type="dxa" w:w="110"/>
            </w:tcMar>
          </w:tcPr>
          <w:p>
            <w:pPr>
              <w:spacing w:after="0" w:before="0"/>
              <w:jc w:val="left"/>
            </w:pPr>
            <w:r>
              <w:rPr>
                <w:b/>
                <w:bCs/>
                <w:sz w:val="19"/>
                <w:szCs w:val="19"/>
              </w:rPr>
              <w:t xml:space="preserve">Bias (°C)</w:t>
            </w:r>
          </w:p>
        </w:tc>
      </w:tr>
      <w:tr>
        <w:trPr>
          <w:tblHeader w:val="false"/>
        </w:trPr>
        <w:tc>
          <w:tcPr>
            <w:tcW w:type="dxa" w:w="3360"/>
            <w:tcMar>
              <w:top w:type="dxa" w:w="60"/>
              <w:left w:type="dxa" w:w="110"/>
              <w:bottom w:type="dxa" w:w="60"/>
              <w:right w:type="dxa" w:w="110"/>
            </w:tcMar>
          </w:tcPr>
          <w:p>
            <w:pPr>
              <w:spacing w:after="0" w:before="0"/>
              <w:jc w:val="left"/>
            </w:pPr>
            <w:r>
              <w:rPr>
                <w:sz w:val="19"/>
                <w:szCs w:val="19"/>
              </w:rPr>
              <w:t xml:space="preserve">Linear</w:t>
            </w:r>
          </w:p>
        </w:tc>
        <w:tc>
          <w:tcPr>
            <w:tcW w:type="dxa" w:w="3360"/>
            <w:tcMar>
              <w:top w:type="dxa" w:w="60"/>
              <w:left w:type="dxa" w:w="110"/>
              <w:bottom w:type="dxa" w:w="60"/>
              <w:right w:type="dxa" w:w="110"/>
            </w:tcMar>
          </w:tcPr>
          <w:p>
            <w:pPr>
              <w:spacing w:after="0" w:before="0"/>
              <w:jc w:val="right"/>
            </w:pPr>
            <w:r>
              <w:rPr>
                <w:sz w:val="19"/>
                <w:szCs w:val="19"/>
              </w:rPr>
              <w:t xml:space="preserve">2.498</w:t>
            </w:r>
          </w:p>
        </w:tc>
        <w:tc>
          <w:tcPr>
            <w:tcW w:type="dxa" w:w="3360"/>
            <w:tcMar>
              <w:top w:type="dxa" w:w="60"/>
              <w:left w:type="dxa" w:w="110"/>
              <w:bottom w:type="dxa" w:w="60"/>
              <w:right w:type="dxa" w:w="110"/>
            </w:tcMar>
          </w:tcPr>
          <w:p>
            <w:pPr>
              <w:spacing w:after="0" w:before="0"/>
              <w:jc w:val="right"/>
            </w:pPr>
            <w:r>
              <w:rPr>
                <w:sz w:val="19"/>
                <w:szCs w:val="19"/>
              </w:rPr>
              <w:t xml:space="preserve">+0.659</w:t>
            </w:r>
          </w:p>
        </w:tc>
      </w:tr>
      <w:tr>
        <w:trPr>
          <w:tblHeader w:val="false"/>
        </w:trPr>
        <w:tc>
          <w:tcPr>
            <w:tcW w:type="dxa" w:w="3360"/>
            <w:tcMar>
              <w:top w:type="dxa" w:w="60"/>
              <w:left w:type="dxa" w:w="110"/>
              <w:bottom w:type="dxa" w:w="60"/>
              <w:right w:type="dxa" w:w="110"/>
            </w:tcMar>
          </w:tcPr>
          <w:p>
            <w:pPr>
              <w:spacing w:after="0" w:before="0"/>
              <w:jc w:val="left"/>
            </w:pPr>
            <w:r>
              <w:rPr>
                <w:sz w:val="19"/>
                <w:szCs w:val="19"/>
              </w:rPr>
              <w:t xml:space="preserve">Normal</w:t>
            </w:r>
          </w:p>
        </w:tc>
        <w:tc>
          <w:tcPr>
            <w:tcW w:type="dxa" w:w="3360"/>
            <w:tcMar>
              <w:top w:type="dxa" w:w="60"/>
              <w:left w:type="dxa" w:w="110"/>
              <w:bottom w:type="dxa" w:w="60"/>
              <w:right w:type="dxa" w:w="110"/>
            </w:tcMar>
          </w:tcPr>
          <w:p>
            <w:pPr>
              <w:spacing w:after="0" w:before="0"/>
              <w:jc w:val="right"/>
            </w:pPr>
            <w:r>
              <w:rPr>
                <w:sz w:val="19"/>
                <w:szCs w:val="19"/>
              </w:rPr>
              <w:t xml:space="preserve">2.500</w:t>
            </w:r>
          </w:p>
        </w:tc>
        <w:tc>
          <w:tcPr>
            <w:tcW w:type="dxa" w:w="3360"/>
            <w:tcMar>
              <w:top w:type="dxa" w:w="60"/>
              <w:left w:type="dxa" w:w="110"/>
              <w:bottom w:type="dxa" w:w="60"/>
              <w:right w:type="dxa" w:w="110"/>
            </w:tcMar>
          </w:tcPr>
          <w:p>
            <w:pPr>
              <w:spacing w:after="0" w:before="0"/>
              <w:jc w:val="right"/>
            </w:pPr>
            <w:r>
              <w:rPr>
                <w:sz w:val="19"/>
                <w:szCs w:val="19"/>
              </w:rPr>
              <w:t xml:space="preserve">+0.596</w:t>
            </w:r>
          </w:p>
        </w:tc>
      </w:tr>
      <w:tr>
        <w:trPr>
          <w:tblHeader w:val="false"/>
        </w:trPr>
        <w:tc>
          <w:tcPr>
            <w:tcW w:type="dxa" w:w="3360"/>
            <w:tcMar>
              <w:top w:type="dxa" w:w="60"/>
              <w:left w:type="dxa" w:w="110"/>
              <w:bottom w:type="dxa" w:w="60"/>
              <w:right w:type="dxa" w:w="110"/>
            </w:tcMar>
          </w:tcPr>
          <w:p>
            <w:pPr>
              <w:spacing w:after="0" w:before="0"/>
              <w:jc w:val="left"/>
            </w:pPr>
            <w:r>
              <w:rPr>
                <w:sz w:val="19"/>
                <w:szCs w:val="19"/>
              </w:rPr>
              <w:t xml:space="preserve">Polynomial</w:t>
            </w:r>
          </w:p>
        </w:tc>
        <w:tc>
          <w:tcPr>
            <w:tcW w:type="dxa" w:w="3360"/>
            <w:tcMar>
              <w:top w:type="dxa" w:w="60"/>
              <w:left w:type="dxa" w:w="110"/>
              <w:bottom w:type="dxa" w:w="60"/>
              <w:right w:type="dxa" w:w="110"/>
            </w:tcMar>
          </w:tcPr>
          <w:p>
            <w:pPr>
              <w:spacing w:after="0" w:before="0"/>
              <w:jc w:val="right"/>
            </w:pPr>
            <w:r>
              <w:rPr>
                <w:sz w:val="19"/>
                <w:szCs w:val="19"/>
              </w:rPr>
              <w:t xml:space="preserve">2.687</w:t>
            </w:r>
          </w:p>
        </w:tc>
        <w:tc>
          <w:tcPr>
            <w:tcW w:type="dxa" w:w="3360"/>
            <w:tcMar>
              <w:top w:type="dxa" w:w="60"/>
              <w:left w:type="dxa" w:w="110"/>
              <w:bottom w:type="dxa" w:w="60"/>
              <w:right w:type="dxa" w:w="110"/>
            </w:tcMar>
          </w:tcPr>
          <w:p>
            <w:pPr>
              <w:spacing w:after="0" w:before="0"/>
              <w:jc w:val="right"/>
            </w:pPr>
            <w:r>
              <w:rPr>
                <w:sz w:val="19"/>
                <w:szCs w:val="19"/>
              </w:rPr>
              <w:t xml:space="preserve">+0.085</w:t>
            </w:r>
          </w:p>
        </w:tc>
      </w:tr>
      <w:tr>
        <w:trPr>
          <w:tblHeader w:val="false"/>
        </w:trPr>
        <w:tc>
          <w:tcPr>
            <w:tcW w:type="dxa" w:w="3360"/>
            <w:tcMar>
              <w:top w:type="dxa" w:w="60"/>
              <w:left w:type="dxa" w:w="110"/>
              <w:bottom w:type="dxa" w:w="60"/>
              <w:right w:type="dxa" w:w="110"/>
            </w:tcMar>
          </w:tcPr>
          <w:p>
            <w:pPr>
              <w:spacing w:after="0" w:before="0"/>
              <w:jc w:val="left"/>
            </w:pPr>
            <w:r>
              <w:rPr>
                <w:sz w:val="19"/>
                <w:szCs w:val="19"/>
              </w:rPr>
              <w:t xml:space="preserve">SSPLIN</w:t>
            </w:r>
          </w:p>
        </w:tc>
        <w:tc>
          <w:tcPr>
            <w:tcW w:type="dxa" w:w="3360"/>
            <w:tcMar>
              <w:top w:type="dxa" w:w="60"/>
              <w:left w:type="dxa" w:w="110"/>
              <w:bottom w:type="dxa" w:w="60"/>
              <w:right w:type="dxa" w:w="110"/>
            </w:tcMar>
          </w:tcPr>
          <w:p>
            <w:pPr>
              <w:spacing w:after="0" w:before="0"/>
              <w:jc w:val="right"/>
            </w:pPr>
            <w:r>
              <w:rPr>
                <w:sz w:val="19"/>
                <w:szCs w:val="19"/>
              </w:rPr>
              <w:t xml:space="preserve">2.775</w:t>
            </w:r>
          </w:p>
        </w:tc>
        <w:tc>
          <w:tcPr>
            <w:tcW w:type="dxa" w:w="3360"/>
            <w:tcMar>
              <w:top w:type="dxa" w:w="60"/>
              <w:left w:type="dxa" w:w="110"/>
              <w:bottom w:type="dxa" w:w="60"/>
              <w:right w:type="dxa" w:w="110"/>
            </w:tcMar>
          </w:tcPr>
          <w:p>
            <w:pPr>
              <w:spacing w:after="0" w:before="0"/>
              <w:jc w:val="right"/>
            </w:pPr>
            <w:r>
              <w:rPr>
                <w:sz w:val="19"/>
                <w:szCs w:val="19"/>
              </w:rPr>
              <w:t xml:space="preserve">+0.036</w:t>
            </w:r>
          </w:p>
        </w:tc>
      </w:tr>
      <w:tr>
        <w:trPr>
          <w:tblHeader w:val="false"/>
        </w:trPr>
        <w:tc>
          <w:tcPr>
            <w:tcW w:type="dxa" w:w="3360"/>
            <w:tcMar>
              <w:top w:type="dxa" w:w="60"/>
              <w:left w:type="dxa" w:w="110"/>
              <w:bottom w:type="dxa" w:w="60"/>
              <w:right w:type="dxa" w:w="110"/>
            </w:tcMar>
          </w:tcPr>
          <w:p>
            <w:pPr>
              <w:spacing w:after="0" w:before="0"/>
              <w:jc w:val="left"/>
            </w:pPr>
            <w:r>
              <w:rPr>
                <w:sz w:val="19"/>
                <w:szCs w:val="19"/>
              </w:rPr>
              <w:t xml:space="preserve">RQUANT</w:t>
            </w:r>
          </w:p>
        </w:tc>
        <w:tc>
          <w:tcPr>
            <w:tcW w:type="dxa" w:w="3360"/>
            <w:tcMar>
              <w:top w:type="dxa" w:w="60"/>
              <w:left w:type="dxa" w:w="110"/>
              <w:bottom w:type="dxa" w:w="60"/>
              <w:right w:type="dxa" w:w="110"/>
            </w:tcMar>
          </w:tcPr>
          <w:p>
            <w:pPr>
              <w:spacing w:after="0" w:before="0"/>
              <w:jc w:val="right"/>
            </w:pPr>
            <w:r>
              <w:rPr>
                <w:sz w:val="19"/>
                <w:szCs w:val="19"/>
              </w:rPr>
              <w:t xml:space="preserve">2.815</w:t>
            </w:r>
          </w:p>
        </w:tc>
        <w:tc>
          <w:tcPr>
            <w:tcW w:type="dxa" w:w="3360"/>
            <w:tcMar>
              <w:top w:type="dxa" w:w="60"/>
              <w:left w:type="dxa" w:w="110"/>
              <w:bottom w:type="dxa" w:w="60"/>
              <w:right w:type="dxa" w:w="110"/>
            </w:tcMar>
          </w:tcPr>
          <w:p>
            <w:pPr>
              <w:spacing w:after="0" w:before="0"/>
              <w:jc w:val="right"/>
            </w:pPr>
            <w:r>
              <w:rPr>
                <w:sz w:val="19"/>
                <w:szCs w:val="19"/>
              </w:rPr>
              <w:t xml:space="preserve">−0.156</w:t>
            </w:r>
          </w:p>
        </w:tc>
      </w:tr>
      <w:tr>
        <w:trPr>
          <w:tblHeader w:val="false"/>
        </w:trPr>
        <w:tc>
          <w:tcPr>
            <w:tcW w:type="dxa" w:w="3360"/>
            <w:tcMar>
              <w:top w:type="dxa" w:w="60"/>
              <w:left w:type="dxa" w:w="110"/>
              <w:bottom w:type="dxa" w:w="60"/>
              <w:right w:type="dxa" w:w="110"/>
            </w:tcMar>
          </w:tcPr>
          <w:p>
            <w:pPr>
              <w:spacing w:after="0" w:before="0"/>
              <w:jc w:val="left"/>
            </w:pPr>
            <w:r>
              <w:rPr>
                <w:sz w:val="19"/>
                <w:szCs w:val="19"/>
              </w:rPr>
              <w:t xml:space="preserve">No correction</w:t>
            </w:r>
          </w:p>
        </w:tc>
        <w:tc>
          <w:tcPr>
            <w:tcW w:type="dxa" w:w="3360"/>
            <w:tcMar>
              <w:top w:type="dxa" w:w="60"/>
              <w:left w:type="dxa" w:w="110"/>
              <w:bottom w:type="dxa" w:w="60"/>
              <w:right w:type="dxa" w:w="110"/>
            </w:tcMar>
          </w:tcPr>
          <w:p>
            <w:pPr>
              <w:spacing w:after="0" w:before="0"/>
              <w:jc w:val="right"/>
            </w:pPr>
            <w:r>
              <w:rPr>
                <w:sz w:val="19"/>
                <w:szCs w:val="19"/>
              </w:rPr>
              <w:t xml:space="preserve">2.837</w:t>
            </w:r>
          </w:p>
        </w:tc>
        <w:tc>
          <w:tcPr>
            <w:tcW w:type="dxa" w:w="3360"/>
            <w:tcMar>
              <w:top w:type="dxa" w:w="60"/>
              <w:left w:type="dxa" w:w="110"/>
              <w:bottom w:type="dxa" w:w="60"/>
              <w:right w:type="dxa" w:w="110"/>
            </w:tcMar>
          </w:tcPr>
          <w:p>
            <w:pPr>
              <w:spacing w:after="0" w:before="0"/>
              <w:jc w:val="right"/>
            </w:pPr>
            <w:r>
              <w:rPr>
                <w:sz w:val="19"/>
                <w:szCs w:val="19"/>
              </w:rPr>
              <w:t xml:space="preserve">+1.663</w:t>
            </w:r>
          </w:p>
        </w:tc>
      </w:tr>
      <w:tr>
        <w:trPr>
          <w:tblHeader w:val="false"/>
        </w:trPr>
        <w:tc>
          <w:tcPr>
            <w:tcW w:type="dxa" w:w="3360"/>
            <w:tcMar>
              <w:top w:type="dxa" w:w="60"/>
              <w:left w:type="dxa" w:w="110"/>
              <w:bottom w:type="dxa" w:w="60"/>
              <w:right w:type="dxa" w:w="110"/>
            </w:tcMar>
          </w:tcPr>
          <w:p>
            <w:pPr>
              <w:spacing w:after="0" w:before="0"/>
              <w:jc w:val="left"/>
            </w:pPr>
            <w:r>
              <w:rPr>
                <w:sz w:val="19"/>
                <w:szCs w:val="19"/>
              </w:rPr>
              <w:t xml:space="preserve">QUANT</w:t>
            </w:r>
          </w:p>
        </w:tc>
        <w:tc>
          <w:tcPr>
            <w:tcW w:type="dxa" w:w="3360"/>
            <w:tcMar>
              <w:top w:type="dxa" w:w="60"/>
              <w:left w:type="dxa" w:w="110"/>
              <w:bottom w:type="dxa" w:w="60"/>
              <w:right w:type="dxa" w:w="110"/>
            </w:tcMar>
          </w:tcPr>
          <w:p>
            <w:pPr>
              <w:spacing w:after="0" w:before="0"/>
              <w:jc w:val="right"/>
            </w:pPr>
            <w:r>
              <w:rPr>
                <w:sz w:val="19"/>
                <w:szCs w:val="19"/>
              </w:rPr>
              <w:t xml:space="preserve">3.029</w:t>
            </w:r>
          </w:p>
        </w:tc>
        <w:tc>
          <w:tcPr>
            <w:tcW w:type="dxa" w:w="3360"/>
            <w:tcMar>
              <w:top w:type="dxa" w:w="60"/>
              <w:left w:type="dxa" w:w="110"/>
              <w:bottom w:type="dxa" w:w="60"/>
              <w:right w:type="dxa" w:w="110"/>
            </w:tcMar>
          </w:tcPr>
          <w:p>
            <w:pPr>
              <w:spacing w:after="0" w:before="0"/>
              <w:jc w:val="right"/>
            </w:pPr>
            <w:r>
              <w:rPr>
                <w:sz w:val="19"/>
                <w:szCs w:val="19"/>
              </w:rPr>
              <w:t xml:space="preserve">−0.115</w:t>
            </w:r>
          </w:p>
        </w:tc>
      </w:tr>
    </w:tbl>
    <w:p>
      <w:pPr>
        <w:spacing w:after="100"/>
      </w:pPr>
    </w:p>
    <w:p>
      <w:pPr>
        <w:spacing w:after="200" w:before="60"/>
      </w:pPr>
      <w:r>
        <w:rPr>
          <w:b/>
          <w:bCs/>
          <w:color w:val="5A6A73"/>
          <w:sz w:val="18"/>
          <w:szCs w:val="18"/>
        </w:rPr>
        <w:t xml:space="preserve">Table 5.</w:t>
      </w:r>
      <w:r>
        <w:rPr>
          <w:color w:val="5A6A73"/>
          <w:sz w:val="18"/>
          <w:szCs w:val="18"/>
        </w:rPr>
        <w:t xml:space="preserve"> MAE and bias at SON P5. The climatology floor here is 1.740 °C.</w:t>
      </w:r>
    </w:p>
    <w:p>
      <w:pPr>
        <w:spacing w:after="120" w:before="60"/>
        <w:jc w:val="left"/>
      </w:pPr>
      <w:r>
        <w:rPr>
          <w:sz w:val="21"/>
          <w:szCs w:val="21"/>
        </w:rPr>
        <w:t xml:space="preserve">SON P5 is the hardest cell in the analysis. The floor is 1.740 °C, nearly twice the domain mean of 0.890 °C, and the uncorrected MAE is 2.837 °C. The best method reaches 2.498 °C, so 31 % of the removable error comes out against 61 % overall.</w:t>
      </w:r>
    </w:p>
    <w:p>
      <w:pPr>
        <w:spacing w:after="120" w:before="60"/>
        <w:jc w:val="left"/>
      </w:pPr>
      <w:r>
        <w:rPr>
          <w:sz w:val="21"/>
          <w:szCs w:val="21"/>
        </w:rPr>
        <w:t xml:space="preserve">QUANT is worse than no correction here, and RQUANT and SSPLIN barely improve on it. The three methods that estimate the shape of the tail do worst; the two-parameter linear fit does best.</w:t>
      </w:r>
    </w:p>
    <w:p>
      <w:pPr>
        <w:spacing w:after="120" w:before="60"/>
        <w:jc w:val="left"/>
      </w:pPr>
      <w:r>
        <w:rPr>
          <w:sz w:val="21"/>
          <w:szCs w:val="21"/>
        </w:rPr>
        <w:t xml:space="preserve">MAE and bias disagree in this column. Linear has the lowest MAE with a +0.659 °C bias, while SSPLIN and QUANT have near-zero bias and higher MAE. Neither is dominant.</w:t>
      </w:r>
    </w:p>
    <w:p>
      <w:pPr>
        <w:pStyle w:val="Heading2"/>
        <w:spacing w:after="120" w:before="260"/>
        <w:outlineLvl w:val="2"/>
      </w:pPr>
      <w:r>
        <w:t xml:space="preserve">Spatial distribution of error</w:t>
      </w:r>
    </w:p>
    <w:p>
      <w:pPr>
        <w:spacing w:after="80" w:before="160"/>
        <w:jc w:val="center"/>
      </w:pPr>
      <w:r>
        <w:drawing>
          <wp:inline distT="0" distB="0" distL="0" distR="0">
            <wp:extent cx="260985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09850" cy="4000500"/>
                    </a:xfrm>
                    <a:prstGeom prst="rect">
                      <a:avLst/>
                    </a:prstGeom>
                  </pic:spPr>
                </pic:pic>
              </a:graphicData>
            </a:graphic>
          </wp:inline>
        </w:drawing>
      </w:r>
    </w:p>
    <w:p>
      <w:pPr>
        <w:spacing w:after="200" w:before="60"/>
      </w:pPr>
      <w:r>
        <w:rPr>
          <w:b/>
          <w:bCs/>
          <w:color w:val="5A6A73"/>
          <w:sz w:val="18"/>
          <w:szCs w:val="18"/>
        </w:rPr>
        <w:t xml:space="preserve">Fig. 3.</w:t>
      </w:r>
      <w:r>
        <w:rPr>
          <w:color w:val="5A6A73"/>
          <w:sz w:val="18"/>
          <w:szCs w:val="18"/>
        </w:rPr>
        <w:t xml:space="preserve"> </w:t>
      </w:r>
      <w:r>
        <w:rPr>
          <w:i/>
          <w:iCs/>
          <w:color w:val="5A6A73"/>
          <w:sz w:val="18"/>
          <w:szCs w:val="18"/>
        </w:rPr>
        <w:t xml:space="preserve">Bias of the uncorrected bilinear modelled variable, by season and percentile.</w:t>
      </w:r>
      <w:r>
        <w:rPr>
          <w:color w:val="5A6A73"/>
          <w:sz w:val="18"/>
          <w:szCs w:val="18"/>
        </w:rPr>
        <w:t xml:space="preserve"> Rows are seasons, columns percentiles. Colour is prediction minus observation in °C, on a scale centred on zero and shared across panels. Data: as Fig. 1.</w:t>
      </w:r>
    </w:p>
    <w:p>
      <w:pPr>
        <w:spacing w:after="80" w:before="160"/>
        <w:jc w:val="center"/>
      </w:pPr>
      <w:r>
        <w:drawing>
          <wp:inline distT="0" distB="0" distL="0" distR="0">
            <wp:extent cx="264795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47950" cy="4000500"/>
                    </a:xfrm>
                    <a:prstGeom prst="rect">
                      <a:avLst/>
                    </a:prstGeom>
                  </pic:spPr>
                </pic:pic>
              </a:graphicData>
            </a:graphic>
          </wp:inline>
        </w:drawing>
      </w:r>
    </w:p>
    <w:p>
      <w:pPr>
        <w:spacing w:after="200" w:before="60"/>
      </w:pPr>
      <w:r>
        <w:rPr>
          <w:b/>
          <w:bCs/>
          <w:color w:val="5A6A73"/>
          <w:sz w:val="18"/>
          <w:szCs w:val="18"/>
        </w:rPr>
        <w:t xml:space="preserve">Fig. 4.</w:t>
      </w:r>
      <w:r>
        <w:rPr>
          <w:color w:val="5A6A73"/>
          <w:sz w:val="18"/>
          <w:szCs w:val="18"/>
        </w:rPr>
        <w:t xml:space="preserve"> </w:t>
      </w:r>
      <w:r>
        <w:rPr>
          <w:i/>
          <w:iCs/>
          <w:color w:val="5A6A73"/>
          <w:sz w:val="18"/>
          <w:szCs w:val="18"/>
        </w:rPr>
        <w:t xml:space="preserve">Bias after correction by the linear fit.</w:t>
      </w:r>
      <w:r>
        <w:rPr>
          <w:color w:val="5A6A73"/>
          <w:sz w:val="18"/>
          <w:szCs w:val="18"/>
        </w:rPr>
        <w:t xml:space="preserve"> Panel layout, colour scale and sign convention as Fig. 3. Data: as Fig. 1.</w:t>
      </w:r>
    </w:p>
    <w:p>
      <w:pPr>
        <w:spacing w:after="120" w:before="60"/>
        <w:jc w:val="left"/>
      </w:pPr>
      <w:r>
        <w:rPr>
          <w:sz w:val="21"/>
          <w:szCs w:val="21"/>
        </w:rPr>
        <w:t xml:space="preserve">The uncorrected bias is spatially coherent and largest over high ground: the Turkish highlands on the northern edge, the Levantine ridge, and the mountains flanking the Red Sea. These are the areas where the coarse grid undersamples cold terrain. After correction the residual is smaller and spatially patchier, and does not reorganise into a new systematic pattern.</w:t>
      </w:r>
    </w:p>
    <w:p>
      <w:pPr>
        <w:pStyle w:val="Heading2"/>
        <w:spacing w:after="120" w:before="260"/>
        <w:outlineLvl w:val="2"/>
      </w:pPr>
      <w:r>
        <w:t xml:space="preserve">Fitted transforms</w:t>
      </w:r>
    </w:p>
    <w:p>
      <w:pPr>
        <w:spacing w:after="80" w:before="160"/>
        <w:jc w:val="center"/>
      </w:pPr>
      <w:r>
        <w:drawing>
          <wp:inline distT="0" distB="0" distL="0" distR="0">
            <wp:extent cx="6096000"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1419225"/>
                    </a:xfrm>
                    <a:prstGeom prst="rect">
                      <a:avLst/>
                    </a:prstGeom>
                  </pic:spPr>
                </pic:pic>
              </a:graphicData>
            </a:graphic>
          </wp:inline>
        </w:drawing>
      </w:r>
    </w:p>
    <w:p>
      <w:pPr>
        <w:spacing w:after="200" w:before="60"/>
      </w:pPr>
      <w:r>
        <w:rPr>
          <w:b/>
          <w:bCs/>
          <w:color w:val="5A6A73"/>
          <w:sz w:val="18"/>
          <w:szCs w:val="18"/>
        </w:rPr>
        <w:t xml:space="preserve">Fig. 5.</w:t>
      </w:r>
      <w:r>
        <w:rPr>
          <w:color w:val="5A6A73"/>
          <w:sz w:val="18"/>
          <w:szCs w:val="18"/>
        </w:rPr>
        <w:t xml:space="preserve"> </w:t>
      </w:r>
      <w:r>
        <w:rPr>
          <w:i/>
          <w:iCs/>
          <w:color w:val="5A6A73"/>
          <w:sz w:val="18"/>
          <w:szCs w:val="18"/>
        </w:rPr>
        <w:t xml:space="preserve">The six fitted transforms at one pixel, SON, holding out 1995.</w:t>
      </w:r>
      <w:r>
        <w:rPr>
          <w:color w:val="5A6A73"/>
          <w:sz w:val="18"/>
          <w:szCs w:val="18"/>
        </w:rPr>
        <w:t xml:space="preserve"> One panel per method. Grey circles are the 99 training q–q nodes, pairing sorted modelled values against sorted observed values; the dashed line is 1:1 and the coloured line is that method's fitted </w:t>
      </w:r>
      <w:r>
        <w:rPr>
          <w:rFonts w:ascii="Consolas" w:cs="Consolas" w:eastAsia="Consolas" w:hAnsi="Consolas"/>
          <w:color w:val="5A6A73"/>
          <w:sz w:val="19"/>
          <w:szCs w:val="19"/>
        </w:rPr>
        <w:t xml:space="preserve">h</w:t>
      </w:r>
      <w:r>
        <w:rPr>
          <w:color w:val="5A6A73"/>
          <w:sz w:val="18"/>
          <w:szCs w:val="18"/>
        </w:rPr>
        <w:t xml:space="preserve">. Each panel carries its own modelled-value axis, and is annotated with the root-mean-square departure of </w:t>
      </w:r>
      <w:r>
        <w:rPr>
          <w:rFonts w:ascii="Consolas" w:cs="Consolas" w:eastAsia="Consolas" w:hAnsi="Consolas"/>
          <w:color w:val="5A6A73"/>
          <w:sz w:val="19"/>
          <w:szCs w:val="19"/>
        </w:rPr>
        <w:t xml:space="preserve">h</w:t>
      </w:r>
      <w:r>
        <w:rPr>
          <w:color w:val="5A6A73"/>
          <w:sz w:val="18"/>
          <w:szCs w:val="18"/>
        </w:rPr>
        <w:t xml:space="preserve"> from the nodes. The pixel shown, 38.0°N 35.0°E, is the one whose autumn q–q relation departs most from a straight line, so the methods are distinguishable; at a typical pixel the departure is 0.45 °C rather than 1.22 °C and all six curves lie almost on top of one another. Data: bilinear CMIP6 modelled variable against ERA5-Land, SON 1990–1999 excluding 1995.</w:t>
      </w:r>
    </w:p>
    <w:p>
      <w:pPr>
        <w:spacing w:after="120" w:before="60"/>
        <w:jc w:val="left"/>
      </w:pPr>
      <w:r>
        <w:rPr>
          <w:sz w:val="21"/>
          <w:szCs w:val="21"/>
        </w:rPr>
        <w:t xml:space="preserve">The q–q relation at this pixel has a pronounced S-bend. Normal and Linear, both straight lines, cut across it and leave an RMS departure of 1.22 °C. The four flexible transforms follow it and leave 0.51 to 0.75 °C, so they fit the training curve about twice as closely.</w:t>
      </w:r>
    </w:p>
    <w:p>
      <w:pPr>
        <w:spacing w:after="120" w:before="60"/>
        <w:jc w:val="left"/>
      </w:pPr>
      <w:r>
        <w:rPr>
          <w:sz w:val="21"/>
          <w:szCs w:val="21"/>
        </w:rPr>
        <w:t xml:space="preserve">That closer fit does not carry to the held-out years: the same flexible methods do not have lower MAE in Tables 2 to 4. The extra structure they capture is partly real curvature and partly sampling noise in the nine training years, and only the first generalises. At a typical pixel the departure from a straight line is 0.45 °C rather than 1.22 °C, leaving less real curvature to capture and the same amount of noise.</w:t>
      </w:r>
    </w:p>
    <w:p>
      <w:pPr>
        <w:pStyle w:val="Heading2"/>
        <w:spacing w:after="120" w:before="260"/>
        <w:outlineLvl w:val="2"/>
      </w:pPr>
      <w:r>
        <w:t xml:space="preserve">Selected hyper-parameters</w:t>
      </w:r>
    </w:p>
    <w:tbl>
      <w:tblPr>
        <w:tblW w:type="dxa" w:w="10080"/>
        <w:tblBorders>
          <w:top w:val="single" w:color="D5DBDE" w:sz="2"/>
          <w:left w:val="single" w:color="D5DBDE" w:sz="2"/>
          <w:bottom w:val="single" w:color="D5DBDE" w:sz="2"/>
          <w:right w:val="single" w:color="D5DBDE" w:sz="2"/>
          <w:insideH w:val="single" w:color="D5DBDE" w:sz="2"/>
          <w:insideV w:val="single" w:color="D5DBDE" w:sz="2"/>
        </w:tblBorders>
      </w:tblPr>
      <w:tblGrid>
        <w:gridCol w:w="2016"/>
        <w:gridCol w:w="2016"/>
        <w:gridCol w:w="2016"/>
        <w:gridCol w:w="2016"/>
        <w:gridCol w:w="2016"/>
      </w:tblGrid>
      <w:tr>
        <w:trPr>
          <w:tblHeader/>
        </w:trPr>
        <w:tc>
          <w:tcPr>
            <w:tcW w:type="dxa" w:w="2016"/>
            <w:shd w:fill="F2F4F5" w:color="auto" w:val="clear"/>
            <w:tcMar>
              <w:top w:type="dxa" w:w="60"/>
              <w:left w:type="dxa" w:w="110"/>
              <w:bottom w:type="dxa" w:w="60"/>
              <w:right w:type="dxa" w:w="110"/>
            </w:tcMar>
          </w:tcPr>
          <w:p>
            <w:pPr>
              <w:spacing w:after="0" w:before="0"/>
              <w:jc w:val="left"/>
            </w:pPr>
            <w:r>
              <w:rPr>
                <w:b/>
                <w:bCs/>
                <w:sz w:val="19"/>
                <w:szCs w:val="19"/>
              </w:rPr>
              <w:t xml:space="preserve">Method</w:t>
            </w:r>
          </w:p>
        </w:tc>
        <w:tc>
          <w:tcPr>
            <w:tcW w:type="dxa" w:w="2016"/>
            <w:shd w:fill="F2F4F5" w:color="auto" w:val="clear"/>
            <w:tcMar>
              <w:top w:type="dxa" w:w="60"/>
              <w:left w:type="dxa" w:w="110"/>
              <w:bottom w:type="dxa" w:w="60"/>
              <w:right w:type="dxa" w:w="110"/>
            </w:tcMar>
          </w:tcPr>
          <w:p>
            <w:pPr>
              <w:spacing w:after="0" w:before="0"/>
              <w:jc w:val="left"/>
            </w:pPr>
            <w:r>
              <w:rPr>
                <w:b/>
                <w:bCs/>
                <w:sz w:val="19"/>
                <w:szCs w:val="19"/>
              </w:rPr>
              <w:t xml:space="preserve">DJF</w:t>
            </w:r>
          </w:p>
        </w:tc>
        <w:tc>
          <w:tcPr>
            <w:tcW w:type="dxa" w:w="2016"/>
            <w:shd w:fill="F2F4F5" w:color="auto" w:val="clear"/>
            <w:tcMar>
              <w:top w:type="dxa" w:w="60"/>
              <w:left w:type="dxa" w:w="110"/>
              <w:bottom w:type="dxa" w:w="60"/>
              <w:right w:type="dxa" w:w="110"/>
            </w:tcMar>
          </w:tcPr>
          <w:p>
            <w:pPr>
              <w:spacing w:after="0" w:before="0"/>
              <w:jc w:val="left"/>
            </w:pPr>
            <w:r>
              <w:rPr>
                <w:b/>
                <w:bCs/>
                <w:sz w:val="19"/>
                <w:szCs w:val="19"/>
              </w:rPr>
              <w:t xml:space="preserve">MAM</w:t>
            </w:r>
          </w:p>
        </w:tc>
        <w:tc>
          <w:tcPr>
            <w:tcW w:type="dxa" w:w="2016"/>
            <w:shd w:fill="F2F4F5" w:color="auto" w:val="clear"/>
            <w:tcMar>
              <w:top w:type="dxa" w:w="60"/>
              <w:left w:type="dxa" w:w="110"/>
              <w:bottom w:type="dxa" w:w="60"/>
              <w:right w:type="dxa" w:w="110"/>
            </w:tcMar>
          </w:tcPr>
          <w:p>
            <w:pPr>
              <w:spacing w:after="0" w:before="0"/>
              <w:jc w:val="left"/>
            </w:pPr>
            <w:r>
              <w:rPr>
                <w:b/>
                <w:bCs/>
                <w:sz w:val="19"/>
                <w:szCs w:val="19"/>
              </w:rPr>
              <w:t xml:space="preserve">JJA</w:t>
            </w:r>
          </w:p>
        </w:tc>
        <w:tc>
          <w:tcPr>
            <w:tcW w:type="dxa" w:w="2016"/>
            <w:shd w:fill="F2F4F5" w:color="auto" w:val="clear"/>
            <w:tcMar>
              <w:top w:type="dxa" w:w="60"/>
              <w:left w:type="dxa" w:w="110"/>
              <w:bottom w:type="dxa" w:w="60"/>
              <w:right w:type="dxa" w:w="110"/>
            </w:tcMar>
          </w:tcPr>
          <w:p>
            <w:pPr>
              <w:spacing w:after="0" w:before="0"/>
              <w:jc w:val="left"/>
            </w:pPr>
            <w:r>
              <w:rPr>
                <w:b/>
                <w:bCs/>
                <w:sz w:val="19"/>
                <w:szCs w:val="19"/>
              </w:rPr>
              <w:t xml:space="preserve">SON</w:t>
            </w:r>
          </w:p>
        </w:tc>
      </w:tr>
      <w:tr>
        <w:trPr>
          <w:tblHeader w:val="false"/>
        </w:trPr>
        <w:tc>
          <w:tcPr>
            <w:tcW w:type="dxa" w:w="2016"/>
            <w:tcMar>
              <w:top w:type="dxa" w:w="60"/>
              <w:left w:type="dxa" w:w="110"/>
              <w:bottom w:type="dxa" w:w="60"/>
              <w:right w:type="dxa" w:w="110"/>
            </w:tcMar>
          </w:tcPr>
          <w:p>
            <w:pPr>
              <w:spacing w:after="0" w:before="0"/>
              <w:jc w:val="left"/>
            </w:pPr>
            <w:r>
              <w:rPr>
                <w:sz w:val="19"/>
                <w:szCs w:val="19"/>
              </w:rPr>
              <w:t xml:space="preserve">Polynomial</w:t>
            </w:r>
          </w:p>
        </w:tc>
        <w:tc>
          <w:tcPr>
            <w:tcW w:type="dxa" w:w="2016"/>
            <w:tcMar>
              <w:top w:type="dxa" w:w="60"/>
              <w:left w:type="dxa" w:w="110"/>
              <w:bottom w:type="dxa" w:w="60"/>
              <w:right w:type="dxa" w:w="110"/>
            </w:tcMar>
          </w:tcPr>
          <w:p>
            <w:pPr>
              <w:spacing w:after="0" w:before="0"/>
              <w:jc w:val="left"/>
            </w:pPr>
            <w:r>
              <w:rPr>
                <w:sz w:val="19"/>
                <w:szCs w:val="19"/>
              </w:rPr>
              <w:t xml:space="preserve">degree 2</w:t>
            </w:r>
          </w:p>
        </w:tc>
        <w:tc>
          <w:tcPr>
            <w:tcW w:type="dxa" w:w="2016"/>
            <w:tcMar>
              <w:top w:type="dxa" w:w="60"/>
              <w:left w:type="dxa" w:w="110"/>
              <w:bottom w:type="dxa" w:w="60"/>
              <w:right w:type="dxa" w:w="110"/>
            </w:tcMar>
          </w:tcPr>
          <w:p>
            <w:pPr>
              <w:spacing w:after="0" w:before="0"/>
              <w:jc w:val="left"/>
            </w:pPr>
            <w:r>
              <w:rPr>
                <w:sz w:val="19"/>
                <w:szCs w:val="19"/>
              </w:rPr>
              <w:t xml:space="preserve">degree 5</w:t>
            </w:r>
          </w:p>
        </w:tc>
        <w:tc>
          <w:tcPr>
            <w:tcW w:type="dxa" w:w="2016"/>
            <w:tcMar>
              <w:top w:type="dxa" w:w="60"/>
              <w:left w:type="dxa" w:w="110"/>
              <w:bottom w:type="dxa" w:w="60"/>
              <w:right w:type="dxa" w:w="110"/>
            </w:tcMar>
          </w:tcPr>
          <w:p>
            <w:pPr>
              <w:spacing w:after="0" w:before="0"/>
              <w:jc w:val="left"/>
            </w:pPr>
            <w:r>
              <w:rPr>
                <w:sz w:val="19"/>
                <w:szCs w:val="19"/>
              </w:rPr>
              <w:t xml:space="preserve">degree 5</w:t>
            </w:r>
          </w:p>
        </w:tc>
        <w:tc>
          <w:tcPr>
            <w:tcW w:type="dxa" w:w="2016"/>
            <w:tcMar>
              <w:top w:type="dxa" w:w="60"/>
              <w:left w:type="dxa" w:w="110"/>
              <w:bottom w:type="dxa" w:w="60"/>
              <w:right w:type="dxa" w:w="110"/>
            </w:tcMar>
          </w:tcPr>
          <w:p>
            <w:pPr>
              <w:spacing w:after="0" w:before="0"/>
              <w:jc w:val="left"/>
            </w:pPr>
            <w:r>
              <w:rPr>
                <w:sz w:val="19"/>
                <w:szCs w:val="19"/>
              </w:rPr>
              <w:t xml:space="preserve">degree 2</w:t>
            </w:r>
          </w:p>
        </w:tc>
      </w:tr>
      <w:tr>
        <w:trPr>
          <w:tblHeader w:val="false"/>
        </w:trPr>
        <w:tc>
          <w:tcPr>
            <w:tcW w:type="dxa" w:w="2016"/>
            <w:tcMar>
              <w:top w:type="dxa" w:w="60"/>
              <w:left w:type="dxa" w:w="110"/>
              <w:bottom w:type="dxa" w:w="60"/>
              <w:right w:type="dxa" w:w="110"/>
            </w:tcMar>
          </w:tcPr>
          <w:p>
            <w:pPr>
              <w:spacing w:after="0" w:before="0"/>
              <w:jc w:val="left"/>
            </w:pPr>
            <w:r>
              <w:rPr>
                <w:sz w:val="19"/>
                <w:szCs w:val="19"/>
              </w:rPr>
              <w:t xml:space="preserve">QUANT</w:t>
            </w:r>
          </w:p>
        </w:tc>
        <w:tc>
          <w:tcPr>
            <w:tcW w:type="dxa" w:w="2016"/>
            <w:tcMar>
              <w:top w:type="dxa" w:w="60"/>
              <w:left w:type="dxa" w:w="110"/>
              <w:bottom w:type="dxa" w:w="60"/>
              <w:right w:type="dxa" w:w="110"/>
            </w:tcMar>
          </w:tcPr>
          <w:p>
            <w:pPr>
              <w:spacing w:after="0" w:before="0"/>
              <w:jc w:val="left"/>
            </w:pPr>
            <w:r>
              <w:rPr>
                <w:sz w:val="19"/>
                <w:szCs w:val="19"/>
              </w:rPr>
              <w:t xml:space="preserve">11 nodes</w:t>
            </w:r>
          </w:p>
        </w:tc>
        <w:tc>
          <w:tcPr>
            <w:tcW w:type="dxa" w:w="2016"/>
            <w:tcMar>
              <w:top w:type="dxa" w:w="60"/>
              <w:left w:type="dxa" w:w="110"/>
              <w:bottom w:type="dxa" w:w="60"/>
              <w:right w:type="dxa" w:w="110"/>
            </w:tcMar>
          </w:tcPr>
          <w:p>
            <w:pPr>
              <w:spacing w:after="0" w:before="0"/>
              <w:jc w:val="left"/>
            </w:pPr>
            <w:r>
              <w:rPr>
                <w:sz w:val="19"/>
                <w:szCs w:val="19"/>
              </w:rPr>
              <w:t xml:space="preserve">19 nodes</w:t>
            </w:r>
          </w:p>
        </w:tc>
        <w:tc>
          <w:tcPr>
            <w:tcW w:type="dxa" w:w="2016"/>
            <w:tcMar>
              <w:top w:type="dxa" w:w="60"/>
              <w:left w:type="dxa" w:w="110"/>
              <w:bottom w:type="dxa" w:w="60"/>
              <w:right w:type="dxa" w:w="110"/>
            </w:tcMar>
          </w:tcPr>
          <w:p>
            <w:pPr>
              <w:spacing w:after="0" w:before="0"/>
              <w:jc w:val="left"/>
            </w:pPr>
            <w:r>
              <w:rPr>
                <w:sz w:val="19"/>
                <w:szCs w:val="19"/>
              </w:rPr>
              <w:t xml:space="preserve">99 nodes</w:t>
            </w:r>
          </w:p>
        </w:tc>
        <w:tc>
          <w:tcPr>
            <w:tcW w:type="dxa" w:w="2016"/>
            <w:tcMar>
              <w:top w:type="dxa" w:w="60"/>
              <w:left w:type="dxa" w:w="110"/>
              <w:bottom w:type="dxa" w:w="60"/>
              <w:right w:type="dxa" w:w="110"/>
            </w:tcMar>
          </w:tcPr>
          <w:p>
            <w:pPr>
              <w:spacing w:after="0" w:before="0"/>
              <w:jc w:val="left"/>
            </w:pPr>
            <w:r>
              <w:rPr>
                <w:sz w:val="19"/>
                <w:szCs w:val="19"/>
              </w:rPr>
              <w:t xml:space="preserve">11 nodes</w:t>
            </w:r>
          </w:p>
        </w:tc>
      </w:tr>
      <w:tr>
        <w:trPr>
          <w:tblHeader w:val="false"/>
        </w:trPr>
        <w:tc>
          <w:tcPr>
            <w:tcW w:type="dxa" w:w="2016"/>
            <w:tcMar>
              <w:top w:type="dxa" w:w="60"/>
              <w:left w:type="dxa" w:w="110"/>
              <w:bottom w:type="dxa" w:w="60"/>
              <w:right w:type="dxa" w:w="110"/>
            </w:tcMar>
          </w:tcPr>
          <w:p>
            <w:pPr>
              <w:spacing w:after="0" w:before="0"/>
              <w:jc w:val="left"/>
            </w:pPr>
            <w:r>
              <w:rPr>
                <w:sz w:val="19"/>
                <w:szCs w:val="19"/>
              </w:rPr>
              <w:t xml:space="preserve">RQUANT</w:t>
            </w:r>
          </w:p>
        </w:tc>
        <w:tc>
          <w:tcPr>
            <w:tcW w:type="dxa" w:w="2016"/>
            <w:tcMar>
              <w:top w:type="dxa" w:w="60"/>
              <w:left w:type="dxa" w:w="110"/>
              <w:bottom w:type="dxa" w:w="60"/>
              <w:right w:type="dxa" w:w="110"/>
            </w:tcMar>
          </w:tcPr>
          <w:p>
            <w:pPr>
              <w:spacing w:after="0" w:before="0"/>
              <w:jc w:val="left"/>
            </w:pPr>
            <w:r>
              <w:rPr>
                <w:sz w:val="19"/>
                <w:szCs w:val="19"/>
              </w:rPr>
              <w:t xml:space="preserve">window 65</w:t>
            </w:r>
          </w:p>
        </w:tc>
        <w:tc>
          <w:tcPr>
            <w:tcW w:type="dxa" w:w="2016"/>
            <w:tcMar>
              <w:top w:type="dxa" w:w="60"/>
              <w:left w:type="dxa" w:w="110"/>
              <w:bottom w:type="dxa" w:w="60"/>
              <w:right w:type="dxa" w:w="110"/>
            </w:tcMar>
          </w:tcPr>
          <w:p>
            <w:pPr>
              <w:spacing w:after="0" w:before="0"/>
              <w:jc w:val="left"/>
            </w:pPr>
            <w:r>
              <w:rPr>
                <w:sz w:val="19"/>
                <w:szCs w:val="19"/>
              </w:rPr>
              <w:t xml:space="preserve">window 15</w:t>
            </w:r>
          </w:p>
        </w:tc>
        <w:tc>
          <w:tcPr>
            <w:tcW w:type="dxa" w:w="2016"/>
            <w:tcMar>
              <w:top w:type="dxa" w:w="60"/>
              <w:left w:type="dxa" w:w="110"/>
              <w:bottom w:type="dxa" w:w="60"/>
              <w:right w:type="dxa" w:w="110"/>
            </w:tcMar>
          </w:tcPr>
          <w:p>
            <w:pPr>
              <w:spacing w:after="0" w:before="0"/>
              <w:jc w:val="left"/>
            </w:pPr>
            <w:r>
              <w:rPr>
                <w:sz w:val="19"/>
                <w:szCs w:val="19"/>
              </w:rPr>
              <w:t xml:space="preserve">window 25</w:t>
            </w:r>
          </w:p>
        </w:tc>
        <w:tc>
          <w:tcPr>
            <w:tcW w:type="dxa" w:w="2016"/>
            <w:tcMar>
              <w:top w:type="dxa" w:w="60"/>
              <w:left w:type="dxa" w:w="110"/>
              <w:bottom w:type="dxa" w:w="60"/>
              <w:right w:type="dxa" w:w="110"/>
            </w:tcMar>
          </w:tcPr>
          <w:p>
            <w:pPr>
              <w:spacing w:after="0" w:before="0"/>
              <w:jc w:val="left"/>
            </w:pPr>
            <w:r>
              <w:rPr>
                <w:sz w:val="19"/>
                <w:szCs w:val="19"/>
              </w:rPr>
              <w:t xml:space="preserve">window 65</w:t>
            </w:r>
          </w:p>
        </w:tc>
      </w:tr>
      <w:tr>
        <w:trPr>
          <w:tblHeader w:val="false"/>
        </w:trPr>
        <w:tc>
          <w:tcPr>
            <w:tcW w:type="dxa" w:w="2016"/>
            <w:tcMar>
              <w:top w:type="dxa" w:w="60"/>
              <w:left w:type="dxa" w:w="110"/>
              <w:bottom w:type="dxa" w:w="60"/>
              <w:right w:type="dxa" w:w="110"/>
            </w:tcMar>
          </w:tcPr>
          <w:p>
            <w:pPr>
              <w:spacing w:after="0" w:before="0"/>
              <w:jc w:val="left"/>
            </w:pPr>
            <w:r>
              <w:rPr>
                <w:sz w:val="19"/>
                <w:szCs w:val="19"/>
              </w:rPr>
              <w:t xml:space="preserve">SSPLIN</w:t>
            </w:r>
          </w:p>
        </w:tc>
        <w:tc>
          <w:tcPr>
            <w:tcW w:type="dxa" w:w="2016"/>
            <w:tcMar>
              <w:top w:type="dxa" w:w="60"/>
              <w:left w:type="dxa" w:w="110"/>
              <w:bottom w:type="dxa" w:w="60"/>
              <w:right w:type="dxa" w:w="110"/>
            </w:tcMar>
          </w:tcPr>
          <w:p>
            <w:pPr>
              <w:spacing w:after="0" w:before="0"/>
              <w:jc w:val="left"/>
            </w:pPr>
            <w:r>
              <w:rPr>
                <w:sz w:val="19"/>
                <w:szCs w:val="19"/>
              </w:rPr>
              <w:t xml:space="preserve">λ = 100</w:t>
            </w:r>
          </w:p>
        </w:tc>
        <w:tc>
          <w:tcPr>
            <w:tcW w:type="dxa" w:w="2016"/>
            <w:tcMar>
              <w:top w:type="dxa" w:w="60"/>
              <w:left w:type="dxa" w:w="110"/>
              <w:bottom w:type="dxa" w:w="60"/>
              <w:right w:type="dxa" w:w="110"/>
            </w:tcMar>
          </w:tcPr>
          <w:p>
            <w:pPr>
              <w:spacing w:after="0" w:before="0"/>
              <w:jc w:val="left"/>
            </w:pPr>
            <w:r>
              <w:rPr>
                <w:sz w:val="19"/>
                <w:szCs w:val="19"/>
              </w:rPr>
              <w:t xml:space="preserve">λ = 0.1</w:t>
            </w:r>
          </w:p>
        </w:tc>
        <w:tc>
          <w:tcPr>
            <w:tcW w:type="dxa" w:w="2016"/>
            <w:tcMar>
              <w:top w:type="dxa" w:w="60"/>
              <w:left w:type="dxa" w:w="110"/>
              <w:bottom w:type="dxa" w:w="60"/>
              <w:right w:type="dxa" w:w="110"/>
            </w:tcMar>
          </w:tcPr>
          <w:p>
            <w:pPr>
              <w:spacing w:after="0" w:before="0"/>
              <w:jc w:val="left"/>
            </w:pPr>
            <w:r>
              <w:rPr>
                <w:sz w:val="19"/>
                <w:szCs w:val="19"/>
              </w:rPr>
              <w:t xml:space="preserve">λ = 10</w:t>
            </w:r>
          </w:p>
        </w:tc>
        <w:tc>
          <w:tcPr>
            <w:tcW w:type="dxa" w:w="2016"/>
            <w:tcMar>
              <w:top w:type="dxa" w:w="60"/>
              <w:left w:type="dxa" w:w="110"/>
              <w:bottom w:type="dxa" w:w="60"/>
              <w:right w:type="dxa" w:w="110"/>
            </w:tcMar>
          </w:tcPr>
          <w:p>
            <w:pPr>
              <w:spacing w:after="0" w:before="0"/>
              <w:jc w:val="left"/>
            </w:pPr>
            <w:r>
              <w:rPr>
                <w:sz w:val="19"/>
                <w:szCs w:val="19"/>
              </w:rPr>
              <w:t xml:space="preserve">λ = 100</w:t>
            </w:r>
          </w:p>
        </w:tc>
      </w:tr>
    </w:tbl>
    <w:p>
      <w:pPr>
        <w:spacing w:after="100"/>
      </w:pPr>
    </w:p>
    <w:p>
      <w:pPr>
        <w:spacing w:after="200" w:before="60"/>
      </w:pPr>
      <w:r>
        <w:rPr>
          <w:b/>
          <w:bCs/>
          <w:color w:val="5A6A73"/>
          <w:sz w:val="18"/>
          <w:szCs w:val="18"/>
        </w:rPr>
        <w:t xml:space="preserve">Table 6.</w:t>
      </w:r>
      <w:r>
        <w:rPr>
          <w:color w:val="5A6A73"/>
          <w:sz w:val="18"/>
          <w:szCs w:val="18"/>
        </w:rPr>
        <w:t xml:space="preserve"> Hyper-parameter selected per method and season. Grids were polynomial degree 2–5, QUANT 11–99 nodes, RQUANT smoothing window 3–65 of the 99 nodes, SSPLIN λ 0.01–100.</w:t>
      </w:r>
    </w:p>
    <w:p>
      <w:pPr>
        <w:spacing w:after="120" w:before="60"/>
        <w:jc w:val="left"/>
      </w:pPr>
      <w:r>
        <w:rPr>
          <w:sz w:val="21"/>
          <w:szCs w:val="21"/>
        </w:rPr>
        <w:t xml:space="preserve">Most of these selections carry little information. Across the 16 method × season combinations the inner-CV score spans </w:t>
      </w:r>
      <w:r>
        <w:rPr>
          <w:b/>
          <w:bCs/>
          <w:sz w:val="21"/>
          <w:szCs w:val="21"/>
        </w:rPr>
        <w:t xml:space="preserve">less than 0.01 °C in seven of them</w:t>
      </w:r>
      <w:r>
        <w:rPr>
          <w:sz w:val="21"/>
          <w:szCs w:val="21"/>
        </w:rPr>
        <w:t xml:space="preserve">, and the score is non-monotone in the hyper-parameter in eight — meaning a larger value does not move the score consistently in either direction, which is what a selection driven by noise looks like.</w:t>
      </w:r>
    </w:p>
    <w:tbl>
      <w:tblPr>
        <w:tblW w:type="dxa" w:w="10080"/>
        <w:tblBorders>
          <w:top w:val="single" w:color="D5DBDE" w:sz="2"/>
          <w:left w:val="single" w:color="D5DBDE" w:sz="2"/>
          <w:bottom w:val="single" w:color="D5DBDE" w:sz="2"/>
          <w:right w:val="single" w:color="D5DBDE" w:sz="2"/>
          <w:insideH w:val="single" w:color="D5DBDE" w:sz="2"/>
          <w:insideV w:val="single" w:color="D5DBDE" w:sz="2"/>
        </w:tblBorders>
      </w:tblPr>
      <w:tblGrid>
        <w:gridCol w:w="2016"/>
        <w:gridCol w:w="2016"/>
        <w:gridCol w:w="2016"/>
        <w:gridCol w:w="2016"/>
        <w:gridCol w:w="2016"/>
      </w:tblGrid>
      <w:tr>
        <w:trPr>
          <w:tblHeader/>
        </w:trPr>
        <w:tc>
          <w:tcPr>
            <w:tcW w:type="dxa" w:w="2016"/>
            <w:shd w:fill="F2F4F5" w:color="auto" w:val="clear"/>
            <w:tcMar>
              <w:top w:type="dxa" w:w="60"/>
              <w:left w:type="dxa" w:w="110"/>
              <w:bottom w:type="dxa" w:w="60"/>
              <w:right w:type="dxa" w:w="110"/>
            </w:tcMar>
          </w:tcPr>
          <w:p>
            <w:pPr>
              <w:spacing w:after="0" w:before="0"/>
              <w:jc w:val="left"/>
            </w:pPr>
            <w:r>
              <w:rPr>
                <w:b/>
                <w:bCs/>
                <w:sz w:val="19"/>
                <w:szCs w:val="19"/>
              </w:rPr>
              <w:t xml:space="preserve">Method</w:t>
            </w:r>
          </w:p>
        </w:tc>
        <w:tc>
          <w:tcPr>
            <w:tcW w:type="dxa" w:w="2016"/>
            <w:shd w:fill="F2F4F5" w:color="auto" w:val="clear"/>
            <w:tcMar>
              <w:top w:type="dxa" w:w="60"/>
              <w:left w:type="dxa" w:w="110"/>
              <w:bottom w:type="dxa" w:w="60"/>
              <w:right w:type="dxa" w:w="110"/>
            </w:tcMar>
          </w:tcPr>
          <w:p>
            <w:pPr>
              <w:spacing w:after="0" w:before="0"/>
              <w:jc w:val="left"/>
            </w:pPr>
            <w:r>
              <w:rPr>
                <w:b/>
                <w:bCs/>
                <w:sz w:val="19"/>
                <w:szCs w:val="19"/>
              </w:rPr>
              <w:t xml:space="preserve">Season</w:t>
            </w:r>
          </w:p>
        </w:tc>
        <w:tc>
          <w:tcPr>
            <w:tcW w:type="dxa" w:w="2016"/>
            <w:shd w:fill="F2F4F5" w:color="auto" w:val="clear"/>
            <w:tcMar>
              <w:top w:type="dxa" w:w="60"/>
              <w:left w:type="dxa" w:w="110"/>
              <w:bottom w:type="dxa" w:w="60"/>
              <w:right w:type="dxa" w:w="110"/>
            </w:tcMar>
          </w:tcPr>
          <w:p>
            <w:pPr>
              <w:spacing w:after="0" w:before="0"/>
              <w:jc w:val="left"/>
            </w:pPr>
            <w:r>
              <w:rPr>
                <w:b/>
                <w:bCs/>
                <w:sz w:val="19"/>
                <w:szCs w:val="19"/>
              </w:rPr>
              <w:t xml:space="preserve">Chosen</w:t>
            </w:r>
          </w:p>
        </w:tc>
        <w:tc>
          <w:tcPr>
            <w:tcW w:type="dxa" w:w="2016"/>
            <w:shd w:fill="F2F4F5" w:color="auto" w:val="clear"/>
            <w:tcMar>
              <w:top w:type="dxa" w:w="60"/>
              <w:left w:type="dxa" w:w="110"/>
              <w:bottom w:type="dxa" w:w="60"/>
              <w:right w:type="dxa" w:w="110"/>
            </w:tcMar>
          </w:tcPr>
          <w:p>
            <w:pPr>
              <w:spacing w:after="0" w:before="0"/>
              <w:jc w:val="left"/>
            </w:pPr>
            <w:r>
              <w:rPr>
                <w:b/>
                <w:bCs/>
                <w:sz w:val="19"/>
                <w:szCs w:val="19"/>
              </w:rPr>
              <w:t xml:space="preserve">Spread across the grid</w:t>
            </w:r>
          </w:p>
        </w:tc>
        <w:tc>
          <w:tcPr>
            <w:tcW w:type="dxa" w:w="2016"/>
            <w:shd w:fill="F2F4F5" w:color="auto" w:val="clear"/>
            <w:tcMar>
              <w:top w:type="dxa" w:w="60"/>
              <w:left w:type="dxa" w:w="110"/>
              <w:bottom w:type="dxa" w:w="60"/>
              <w:right w:type="dxa" w:w="110"/>
            </w:tcMar>
          </w:tcPr>
          <w:p>
            <w:pPr>
              <w:spacing w:after="0" w:before="0"/>
              <w:jc w:val="left"/>
            </w:pPr>
            <w:r>
              <w:rPr>
                <w:b/>
                <w:bCs/>
                <w:sz w:val="19"/>
                <w:szCs w:val="19"/>
              </w:rPr>
              <w:t xml:space="preserve">Score monotone in the parameter?</w:t>
            </w:r>
          </w:p>
        </w:tc>
      </w:tr>
      <w:tr>
        <w:trPr>
          <w:tblHeader w:val="false"/>
        </w:trPr>
        <w:tc>
          <w:tcPr>
            <w:tcW w:type="dxa" w:w="2016"/>
            <w:tcMar>
              <w:top w:type="dxa" w:w="60"/>
              <w:left w:type="dxa" w:w="110"/>
              <w:bottom w:type="dxa" w:w="60"/>
              <w:right w:type="dxa" w:w="110"/>
            </w:tcMar>
          </w:tcPr>
          <w:p>
            <w:pPr>
              <w:spacing w:after="0" w:before="0"/>
              <w:jc w:val="left"/>
            </w:pPr>
            <w:r>
              <w:rPr>
                <w:sz w:val="19"/>
                <w:szCs w:val="19"/>
              </w:rPr>
              <w:t xml:space="preserve">SSPLIN</w:t>
            </w:r>
          </w:p>
        </w:tc>
        <w:tc>
          <w:tcPr>
            <w:tcW w:type="dxa" w:w="2016"/>
            <w:tcMar>
              <w:top w:type="dxa" w:w="60"/>
              <w:left w:type="dxa" w:w="110"/>
              <w:bottom w:type="dxa" w:w="60"/>
              <w:right w:type="dxa" w:w="110"/>
            </w:tcMar>
          </w:tcPr>
          <w:p>
            <w:pPr>
              <w:spacing w:after="0" w:before="0"/>
              <w:jc w:val="left"/>
            </w:pPr>
            <w:r>
              <w:rPr>
                <w:sz w:val="19"/>
                <w:szCs w:val="19"/>
              </w:rPr>
              <w:t xml:space="preserve">SON</w:t>
            </w:r>
          </w:p>
        </w:tc>
        <w:tc>
          <w:tcPr>
            <w:tcW w:type="dxa" w:w="2016"/>
            <w:tcMar>
              <w:top w:type="dxa" w:w="60"/>
              <w:left w:type="dxa" w:w="110"/>
              <w:bottom w:type="dxa" w:w="60"/>
              <w:right w:type="dxa" w:w="110"/>
            </w:tcMar>
          </w:tcPr>
          <w:p>
            <w:pPr>
              <w:spacing w:after="0" w:before="0"/>
              <w:jc w:val="left"/>
            </w:pPr>
            <w:r>
              <w:rPr>
                <w:sz w:val="19"/>
                <w:szCs w:val="19"/>
              </w:rPr>
              <w:t xml:space="preserve">λ = 100</w:t>
            </w:r>
          </w:p>
        </w:tc>
        <w:tc>
          <w:tcPr>
            <w:tcW w:type="dxa" w:w="2016"/>
            <w:tcMar>
              <w:top w:type="dxa" w:w="60"/>
              <w:left w:type="dxa" w:w="110"/>
              <w:bottom w:type="dxa" w:w="60"/>
              <w:right w:type="dxa" w:w="110"/>
            </w:tcMar>
          </w:tcPr>
          <w:p>
            <w:pPr>
              <w:spacing w:after="0" w:before="0"/>
              <w:jc w:val="right"/>
            </w:pPr>
            <w:r>
              <w:rPr>
                <w:sz w:val="19"/>
                <w:szCs w:val="19"/>
              </w:rPr>
              <w:t xml:space="preserve">0.063</w:t>
            </w:r>
          </w:p>
        </w:tc>
        <w:tc>
          <w:tcPr>
            <w:tcW w:type="dxa" w:w="2016"/>
            <w:tcMar>
              <w:top w:type="dxa" w:w="60"/>
              <w:left w:type="dxa" w:w="110"/>
              <w:bottom w:type="dxa" w:w="60"/>
              <w:right w:type="dxa" w:w="110"/>
            </w:tcMar>
          </w:tcPr>
          <w:p>
            <w:pPr>
              <w:spacing w:after="0" w:before="0"/>
              <w:jc w:val="left"/>
            </w:pPr>
            <w:r>
              <w:rPr>
                <w:sz w:val="19"/>
                <w:szCs w:val="19"/>
              </w:rPr>
              <w:t xml:space="preserve">yes</w:t>
            </w:r>
          </w:p>
        </w:tc>
      </w:tr>
      <w:tr>
        <w:trPr>
          <w:tblHeader w:val="false"/>
        </w:trPr>
        <w:tc>
          <w:tcPr>
            <w:tcW w:type="dxa" w:w="2016"/>
            <w:tcMar>
              <w:top w:type="dxa" w:w="60"/>
              <w:left w:type="dxa" w:w="110"/>
              <w:bottom w:type="dxa" w:w="60"/>
              <w:right w:type="dxa" w:w="110"/>
            </w:tcMar>
          </w:tcPr>
          <w:p>
            <w:pPr>
              <w:spacing w:after="0" w:before="0"/>
              <w:jc w:val="left"/>
            </w:pPr>
            <w:r>
              <w:rPr>
                <w:sz w:val="19"/>
                <w:szCs w:val="19"/>
              </w:rPr>
              <w:t xml:space="preserve">Polynomial</w:t>
            </w:r>
          </w:p>
        </w:tc>
        <w:tc>
          <w:tcPr>
            <w:tcW w:type="dxa" w:w="2016"/>
            <w:tcMar>
              <w:top w:type="dxa" w:w="60"/>
              <w:left w:type="dxa" w:w="110"/>
              <w:bottom w:type="dxa" w:w="60"/>
              <w:right w:type="dxa" w:w="110"/>
            </w:tcMar>
          </w:tcPr>
          <w:p>
            <w:pPr>
              <w:spacing w:after="0" w:before="0"/>
              <w:jc w:val="left"/>
            </w:pPr>
            <w:r>
              <w:rPr>
                <w:sz w:val="19"/>
                <w:szCs w:val="19"/>
              </w:rPr>
              <w:t xml:space="preserve">SON</w:t>
            </w:r>
          </w:p>
        </w:tc>
        <w:tc>
          <w:tcPr>
            <w:tcW w:type="dxa" w:w="2016"/>
            <w:tcMar>
              <w:top w:type="dxa" w:w="60"/>
              <w:left w:type="dxa" w:w="110"/>
              <w:bottom w:type="dxa" w:w="60"/>
              <w:right w:type="dxa" w:w="110"/>
            </w:tcMar>
          </w:tcPr>
          <w:p>
            <w:pPr>
              <w:spacing w:after="0" w:before="0"/>
              <w:jc w:val="left"/>
            </w:pPr>
            <w:r>
              <w:rPr>
                <w:sz w:val="19"/>
                <w:szCs w:val="19"/>
              </w:rPr>
              <w:t xml:space="preserve">degree 2</w:t>
            </w:r>
          </w:p>
        </w:tc>
        <w:tc>
          <w:tcPr>
            <w:tcW w:type="dxa" w:w="2016"/>
            <w:tcMar>
              <w:top w:type="dxa" w:w="60"/>
              <w:left w:type="dxa" w:w="110"/>
              <w:bottom w:type="dxa" w:w="60"/>
              <w:right w:type="dxa" w:w="110"/>
            </w:tcMar>
          </w:tcPr>
          <w:p>
            <w:pPr>
              <w:spacing w:after="0" w:before="0"/>
              <w:jc w:val="right"/>
            </w:pPr>
            <w:r>
              <w:rPr>
                <w:sz w:val="19"/>
                <w:szCs w:val="19"/>
              </w:rPr>
              <w:t xml:space="preserve">0.059</w:t>
            </w:r>
          </w:p>
        </w:tc>
        <w:tc>
          <w:tcPr>
            <w:tcW w:type="dxa" w:w="2016"/>
            <w:tcMar>
              <w:top w:type="dxa" w:w="60"/>
              <w:left w:type="dxa" w:w="110"/>
              <w:bottom w:type="dxa" w:w="60"/>
              <w:right w:type="dxa" w:w="110"/>
            </w:tcMar>
          </w:tcPr>
          <w:p>
            <w:pPr>
              <w:spacing w:after="0" w:before="0"/>
              <w:jc w:val="left"/>
            </w:pPr>
            <w:r>
              <w:rPr>
                <w:sz w:val="19"/>
                <w:szCs w:val="19"/>
              </w:rPr>
              <w:t xml:space="preserve">yes</w:t>
            </w:r>
          </w:p>
        </w:tc>
      </w:tr>
      <w:tr>
        <w:trPr>
          <w:tblHeader w:val="false"/>
        </w:trPr>
        <w:tc>
          <w:tcPr>
            <w:tcW w:type="dxa" w:w="2016"/>
            <w:tcMar>
              <w:top w:type="dxa" w:w="60"/>
              <w:left w:type="dxa" w:w="110"/>
              <w:bottom w:type="dxa" w:w="60"/>
              <w:right w:type="dxa" w:w="110"/>
            </w:tcMar>
          </w:tcPr>
          <w:p>
            <w:pPr>
              <w:spacing w:after="0" w:before="0"/>
              <w:jc w:val="left"/>
            </w:pPr>
            <w:r>
              <w:rPr>
                <w:sz w:val="19"/>
                <w:szCs w:val="19"/>
              </w:rPr>
              <w:t xml:space="preserve">RQUANT</w:t>
            </w:r>
          </w:p>
        </w:tc>
        <w:tc>
          <w:tcPr>
            <w:tcW w:type="dxa" w:w="2016"/>
            <w:tcMar>
              <w:top w:type="dxa" w:w="60"/>
              <w:left w:type="dxa" w:w="110"/>
              <w:bottom w:type="dxa" w:w="60"/>
              <w:right w:type="dxa" w:w="110"/>
            </w:tcMar>
          </w:tcPr>
          <w:p>
            <w:pPr>
              <w:spacing w:after="0" w:before="0"/>
              <w:jc w:val="left"/>
            </w:pPr>
            <w:r>
              <w:rPr>
                <w:sz w:val="19"/>
                <w:szCs w:val="19"/>
              </w:rPr>
              <w:t xml:space="preserve">SON</w:t>
            </w:r>
          </w:p>
        </w:tc>
        <w:tc>
          <w:tcPr>
            <w:tcW w:type="dxa" w:w="2016"/>
            <w:tcMar>
              <w:top w:type="dxa" w:w="60"/>
              <w:left w:type="dxa" w:w="110"/>
              <w:bottom w:type="dxa" w:w="60"/>
              <w:right w:type="dxa" w:w="110"/>
            </w:tcMar>
          </w:tcPr>
          <w:p>
            <w:pPr>
              <w:spacing w:after="0" w:before="0"/>
              <w:jc w:val="left"/>
            </w:pPr>
            <w:r>
              <w:rPr>
                <w:sz w:val="19"/>
                <w:szCs w:val="19"/>
              </w:rPr>
              <w:t xml:space="preserve">window 65</w:t>
            </w:r>
          </w:p>
        </w:tc>
        <w:tc>
          <w:tcPr>
            <w:tcW w:type="dxa" w:w="2016"/>
            <w:tcMar>
              <w:top w:type="dxa" w:w="60"/>
              <w:left w:type="dxa" w:w="110"/>
              <w:bottom w:type="dxa" w:w="60"/>
              <w:right w:type="dxa" w:w="110"/>
            </w:tcMar>
          </w:tcPr>
          <w:p>
            <w:pPr>
              <w:spacing w:after="0" w:before="0"/>
              <w:jc w:val="right"/>
            </w:pPr>
            <w:r>
              <w:rPr>
                <w:sz w:val="19"/>
                <w:szCs w:val="19"/>
              </w:rPr>
              <w:t xml:space="preserve">0.045</w:t>
            </w:r>
          </w:p>
        </w:tc>
        <w:tc>
          <w:tcPr>
            <w:tcW w:type="dxa" w:w="2016"/>
            <w:tcMar>
              <w:top w:type="dxa" w:w="60"/>
              <w:left w:type="dxa" w:w="110"/>
              <w:bottom w:type="dxa" w:w="60"/>
              <w:right w:type="dxa" w:w="110"/>
            </w:tcMar>
          </w:tcPr>
          <w:p>
            <w:pPr>
              <w:spacing w:after="0" w:before="0"/>
              <w:jc w:val="left"/>
            </w:pPr>
            <w:r>
              <w:rPr>
                <w:sz w:val="19"/>
                <w:szCs w:val="19"/>
              </w:rPr>
              <w:t xml:space="preserve">yes</w:t>
            </w:r>
          </w:p>
        </w:tc>
      </w:tr>
      <w:tr>
        <w:trPr>
          <w:tblHeader w:val="false"/>
        </w:trPr>
        <w:tc>
          <w:tcPr>
            <w:tcW w:type="dxa" w:w="2016"/>
            <w:tcMar>
              <w:top w:type="dxa" w:w="60"/>
              <w:left w:type="dxa" w:w="110"/>
              <w:bottom w:type="dxa" w:w="60"/>
              <w:right w:type="dxa" w:w="110"/>
            </w:tcMar>
          </w:tcPr>
          <w:p>
            <w:pPr>
              <w:spacing w:after="0" w:before="0"/>
              <w:jc w:val="left"/>
            </w:pPr>
            <w:r>
              <w:rPr>
                <w:sz w:val="19"/>
                <w:szCs w:val="19"/>
              </w:rPr>
              <w:t xml:space="preserve">QUANT</w:t>
            </w:r>
          </w:p>
        </w:tc>
        <w:tc>
          <w:tcPr>
            <w:tcW w:type="dxa" w:w="2016"/>
            <w:tcMar>
              <w:top w:type="dxa" w:w="60"/>
              <w:left w:type="dxa" w:w="110"/>
              <w:bottom w:type="dxa" w:w="60"/>
              <w:right w:type="dxa" w:w="110"/>
            </w:tcMar>
          </w:tcPr>
          <w:p>
            <w:pPr>
              <w:spacing w:after="0" w:before="0"/>
              <w:jc w:val="left"/>
            </w:pPr>
            <w:r>
              <w:rPr>
                <w:sz w:val="19"/>
                <w:szCs w:val="19"/>
              </w:rPr>
              <w:t xml:space="preserve">SON</w:t>
            </w:r>
          </w:p>
        </w:tc>
        <w:tc>
          <w:tcPr>
            <w:tcW w:type="dxa" w:w="2016"/>
            <w:tcMar>
              <w:top w:type="dxa" w:w="60"/>
              <w:left w:type="dxa" w:w="110"/>
              <w:bottom w:type="dxa" w:w="60"/>
              <w:right w:type="dxa" w:w="110"/>
            </w:tcMar>
          </w:tcPr>
          <w:p>
            <w:pPr>
              <w:spacing w:after="0" w:before="0"/>
              <w:jc w:val="left"/>
            </w:pPr>
            <w:r>
              <w:rPr>
                <w:sz w:val="19"/>
                <w:szCs w:val="19"/>
              </w:rPr>
              <w:t xml:space="preserve">11 nodes</w:t>
            </w:r>
          </w:p>
        </w:tc>
        <w:tc>
          <w:tcPr>
            <w:tcW w:type="dxa" w:w="2016"/>
            <w:tcMar>
              <w:top w:type="dxa" w:w="60"/>
              <w:left w:type="dxa" w:w="110"/>
              <w:bottom w:type="dxa" w:w="60"/>
              <w:right w:type="dxa" w:w="110"/>
            </w:tcMar>
          </w:tcPr>
          <w:p>
            <w:pPr>
              <w:spacing w:after="0" w:before="0"/>
              <w:jc w:val="right"/>
            </w:pPr>
            <w:r>
              <w:rPr>
                <w:sz w:val="19"/>
                <w:szCs w:val="19"/>
              </w:rPr>
              <w:t xml:space="preserve">0.025</w:t>
            </w:r>
          </w:p>
        </w:tc>
        <w:tc>
          <w:tcPr>
            <w:tcW w:type="dxa" w:w="2016"/>
            <w:tcMar>
              <w:top w:type="dxa" w:w="60"/>
              <w:left w:type="dxa" w:w="110"/>
              <w:bottom w:type="dxa" w:w="60"/>
              <w:right w:type="dxa" w:w="110"/>
            </w:tcMar>
          </w:tcPr>
          <w:p>
            <w:pPr>
              <w:spacing w:after="0" w:before="0"/>
              <w:jc w:val="left"/>
            </w:pPr>
            <w:r>
              <w:rPr>
                <w:sz w:val="19"/>
                <w:szCs w:val="19"/>
              </w:rPr>
              <w:t xml:space="preserve">yes</w:t>
            </w:r>
          </w:p>
        </w:tc>
      </w:tr>
      <w:tr>
        <w:trPr>
          <w:tblHeader w:val="false"/>
        </w:trPr>
        <w:tc>
          <w:tcPr>
            <w:tcW w:type="dxa" w:w="2016"/>
            <w:tcMar>
              <w:top w:type="dxa" w:w="60"/>
              <w:left w:type="dxa" w:w="110"/>
              <w:bottom w:type="dxa" w:w="60"/>
              <w:right w:type="dxa" w:w="110"/>
            </w:tcMar>
          </w:tcPr>
          <w:p>
            <w:pPr>
              <w:spacing w:after="0" w:before="0"/>
              <w:jc w:val="left"/>
            </w:pPr>
            <w:r>
              <w:rPr>
                <w:sz w:val="19"/>
                <w:szCs w:val="19"/>
              </w:rPr>
              <w:t xml:space="preserve">Polynomial</w:t>
            </w:r>
          </w:p>
        </w:tc>
        <w:tc>
          <w:tcPr>
            <w:tcW w:type="dxa" w:w="2016"/>
            <w:tcMar>
              <w:top w:type="dxa" w:w="60"/>
              <w:left w:type="dxa" w:w="110"/>
              <w:bottom w:type="dxa" w:w="60"/>
              <w:right w:type="dxa" w:w="110"/>
            </w:tcMar>
          </w:tcPr>
          <w:p>
            <w:pPr>
              <w:spacing w:after="0" w:before="0"/>
              <w:jc w:val="left"/>
            </w:pPr>
            <w:r>
              <w:rPr>
                <w:sz w:val="19"/>
                <w:szCs w:val="19"/>
              </w:rPr>
              <w:t xml:space="preserve">MAM</w:t>
            </w:r>
          </w:p>
        </w:tc>
        <w:tc>
          <w:tcPr>
            <w:tcW w:type="dxa" w:w="2016"/>
            <w:tcMar>
              <w:top w:type="dxa" w:w="60"/>
              <w:left w:type="dxa" w:w="110"/>
              <w:bottom w:type="dxa" w:w="60"/>
              <w:right w:type="dxa" w:w="110"/>
            </w:tcMar>
          </w:tcPr>
          <w:p>
            <w:pPr>
              <w:spacing w:after="0" w:before="0"/>
              <w:jc w:val="left"/>
            </w:pPr>
            <w:r>
              <w:rPr>
                <w:sz w:val="19"/>
                <w:szCs w:val="19"/>
              </w:rPr>
              <w:t xml:space="preserve">degree 5</w:t>
            </w:r>
          </w:p>
        </w:tc>
        <w:tc>
          <w:tcPr>
            <w:tcW w:type="dxa" w:w="2016"/>
            <w:tcMar>
              <w:top w:type="dxa" w:w="60"/>
              <w:left w:type="dxa" w:w="110"/>
              <w:bottom w:type="dxa" w:w="60"/>
              <w:right w:type="dxa" w:w="110"/>
            </w:tcMar>
          </w:tcPr>
          <w:p>
            <w:pPr>
              <w:spacing w:after="0" w:before="0"/>
              <w:jc w:val="right"/>
            </w:pPr>
            <w:r>
              <w:rPr>
                <w:sz w:val="19"/>
                <w:szCs w:val="19"/>
              </w:rPr>
              <w:t xml:space="preserve">0.023</w:t>
            </w:r>
          </w:p>
        </w:tc>
        <w:tc>
          <w:tcPr>
            <w:tcW w:type="dxa" w:w="2016"/>
            <w:tcMar>
              <w:top w:type="dxa" w:w="60"/>
              <w:left w:type="dxa" w:w="110"/>
              <w:bottom w:type="dxa" w:w="60"/>
              <w:right w:type="dxa" w:w="110"/>
            </w:tcMar>
          </w:tcPr>
          <w:p>
            <w:pPr>
              <w:spacing w:after="0" w:before="0"/>
              <w:jc w:val="left"/>
            </w:pPr>
            <w:r>
              <w:rPr>
                <w:sz w:val="19"/>
                <w:szCs w:val="19"/>
              </w:rPr>
              <w:t xml:space="preserve">yes</w:t>
            </w:r>
          </w:p>
        </w:tc>
      </w:tr>
      <w:tr>
        <w:trPr>
          <w:tblHeader w:val="false"/>
        </w:trPr>
        <w:tc>
          <w:tcPr>
            <w:tcW w:type="dxa" w:w="2016"/>
            <w:tcMar>
              <w:top w:type="dxa" w:w="60"/>
              <w:left w:type="dxa" w:w="110"/>
              <w:bottom w:type="dxa" w:w="60"/>
              <w:right w:type="dxa" w:w="110"/>
            </w:tcMar>
          </w:tcPr>
          <w:p>
            <w:pPr>
              <w:spacing w:after="0" w:before="0"/>
              <w:jc w:val="left"/>
            </w:pPr>
            <w:r>
              <w:rPr>
                <w:sz w:val="19"/>
                <w:szCs w:val="19"/>
              </w:rPr>
              <w:t xml:space="preserve">QUANT</w:t>
            </w:r>
          </w:p>
        </w:tc>
        <w:tc>
          <w:tcPr>
            <w:tcW w:type="dxa" w:w="2016"/>
            <w:tcMar>
              <w:top w:type="dxa" w:w="60"/>
              <w:left w:type="dxa" w:w="110"/>
              <w:bottom w:type="dxa" w:w="60"/>
              <w:right w:type="dxa" w:w="110"/>
            </w:tcMar>
          </w:tcPr>
          <w:p>
            <w:pPr>
              <w:spacing w:after="0" w:before="0"/>
              <w:jc w:val="left"/>
            </w:pPr>
            <w:r>
              <w:rPr>
                <w:sz w:val="19"/>
                <w:szCs w:val="19"/>
              </w:rPr>
              <w:t xml:space="preserve">JJA</w:t>
            </w:r>
          </w:p>
        </w:tc>
        <w:tc>
          <w:tcPr>
            <w:tcW w:type="dxa" w:w="2016"/>
            <w:tcMar>
              <w:top w:type="dxa" w:w="60"/>
              <w:left w:type="dxa" w:w="110"/>
              <w:bottom w:type="dxa" w:w="60"/>
              <w:right w:type="dxa" w:w="110"/>
            </w:tcMar>
          </w:tcPr>
          <w:p>
            <w:pPr>
              <w:spacing w:after="0" w:before="0"/>
              <w:jc w:val="left"/>
            </w:pPr>
            <w:r>
              <w:rPr>
                <w:sz w:val="19"/>
                <w:szCs w:val="19"/>
              </w:rPr>
              <w:t xml:space="preserve">99 nodes</w:t>
            </w:r>
          </w:p>
        </w:tc>
        <w:tc>
          <w:tcPr>
            <w:tcW w:type="dxa" w:w="2016"/>
            <w:tcMar>
              <w:top w:type="dxa" w:w="60"/>
              <w:left w:type="dxa" w:w="110"/>
              <w:bottom w:type="dxa" w:w="60"/>
              <w:right w:type="dxa" w:w="110"/>
            </w:tcMar>
          </w:tcPr>
          <w:p>
            <w:pPr>
              <w:spacing w:after="0" w:before="0"/>
              <w:jc w:val="right"/>
            </w:pPr>
            <w:r>
              <w:rPr>
                <w:sz w:val="19"/>
                <w:szCs w:val="19"/>
              </w:rPr>
              <w:t xml:space="preserve">0.019</w:t>
            </w:r>
          </w:p>
        </w:tc>
        <w:tc>
          <w:tcPr>
            <w:tcW w:type="dxa" w:w="2016"/>
            <w:tcMar>
              <w:top w:type="dxa" w:w="60"/>
              <w:left w:type="dxa" w:w="110"/>
              <w:bottom w:type="dxa" w:w="60"/>
              <w:right w:type="dxa" w:w="110"/>
            </w:tcMar>
          </w:tcPr>
          <w:p>
            <w:pPr>
              <w:spacing w:after="0" w:before="0"/>
              <w:jc w:val="left"/>
            </w:pPr>
            <w:r>
              <w:rPr>
                <w:sz w:val="19"/>
                <w:szCs w:val="19"/>
              </w:rPr>
              <w:t xml:space="preserve">yes</w:t>
            </w:r>
          </w:p>
        </w:tc>
      </w:tr>
      <w:tr>
        <w:trPr>
          <w:tblHeader w:val="false"/>
        </w:trPr>
        <w:tc>
          <w:tcPr>
            <w:tcW w:type="dxa" w:w="2016"/>
            <w:tcMar>
              <w:top w:type="dxa" w:w="60"/>
              <w:left w:type="dxa" w:w="110"/>
              <w:bottom w:type="dxa" w:w="60"/>
              <w:right w:type="dxa" w:w="110"/>
            </w:tcMar>
          </w:tcPr>
          <w:p>
            <w:pPr>
              <w:spacing w:after="0" w:before="0"/>
              <w:jc w:val="left"/>
            </w:pPr>
            <w:r>
              <w:rPr>
                <w:sz w:val="19"/>
                <w:szCs w:val="19"/>
              </w:rPr>
              <w:t xml:space="preserve">SSPLIN</w:t>
            </w:r>
          </w:p>
        </w:tc>
        <w:tc>
          <w:tcPr>
            <w:tcW w:type="dxa" w:w="2016"/>
            <w:tcMar>
              <w:top w:type="dxa" w:w="60"/>
              <w:left w:type="dxa" w:w="110"/>
              <w:bottom w:type="dxa" w:w="60"/>
              <w:right w:type="dxa" w:w="110"/>
            </w:tcMar>
          </w:tcPr>
          <w:p>
            <w:pPr>
              <w:spacing w:after="0" w:before="0"/>
              <w:jc w:val="left"/>
            </w:pPr>
            <w:r>
              <w:rPr>
                <w:sz w:val="19"/>
                <w:szCs w:val="19"/>
              </w:rPr>
              <w:t xml:space="preserve">DJF</w:t>
            </w:r>
          </w:p>
        </w:tc>
        <w:tc>
          <w:tcPr>
            <w:tcW w:type="dxa" w:w="2016"/>
            <w:tcMar>
              <w:top w:type="dxa" w:w="60"/>
              <w:left w:type="dxa" w:w="110"/>
              <w:bottom w:type="dxa" w:w="60"/>
              <w:right w:type="dxa" w:w="110"/>
            </w:tcMar>
          </w:tcPr>
          <w:p>
            <w:pPr>
              <w:spacing w:after="0" w:before="0"/>
              <w:jc w:val="left"/>
            </w:pPr>
            <w:r>
              <w:rPr>
                <w:sz w:val="19"/>
                <w:szCs w:val="19"/>
              </w:rPr>
              <w:t xml:space="preserve">λ = 100</w:t>
            </w:r>
          </w:p>
        </w:tc>
        <w:tc>
          <w:tcPr>
            <w:tcW w:type="dxa" w:w="2016"/>
            <w:tcMar>
              <w:top w:type="dxa" w:w="60"/>
              <w:left w:type="dxa" w:w="110"/>
              <w:bottom w:type="dxa" w:w="60"/>
              <w:right w:type="dxa" w:w="110"/>
            </w:tcMar>
          </w:tcPr>
          <w:p>
            <w:pPr>
              <w:spacing w:after="0" w:before="0"/>
              <w:jc w:val="right"/>
            </w:pPr>
            <w:r>
              <w:rPr>
                <w:sz w:val="19"/>
                <w:szCs w:val="19"/>
              </w:rPr>
              <w:t xml:space="preserve">0.018</w:t>
            </w:r>
          </w:p>
        </w:tc>
        <w:tc>
          <w:tcPr>
            <w:tcW w:type="dxa" w:w="2016"/>
            <w:tcMar>
              <w:top w:type="dxa" w:w="60"/>
              <w:left w:type="dxa" w:w="110"/>
              <w:bottom w:type="dxa" w:w="60"/>
              <w:right w:type="dxa" w:w="110"/>
            </w:tcMar>
          </w:tcPr>
          <w:p>
            <w:pPr>
              <w:spacing w:after="0" w:before="0"/>
              <w:jc w:val="left"/>
            </w:pPr>
            <w:r>
              <w:rPr>
                <w:sz w:val="19"/>
                <w:szCs w:val="19"/>
              </w:rPr>
              <w:t xml:space="preserve">yes</w:t>
            </w:r>
          </w:p>
        </w:tc>
      </w:tr>
      <w:tr>
        <w:trPr>
          <w:tblHeader w:val="false"/>
        </w:trPr>
        <w:tc>
          <w:tcPr>
            <w:tcW w:type="dxa" w:w="2016"/>
            <w:tcMar>
              <w:top w:type="dxa" w:w="60"/>
              <w:left w:type="dxa" w:w="110"/>
              <w:bottom w:type="dxa" w:w="60"/>
              <w:right w:type="dxa" w:w="110"/>
            </w:tcMar>
          </w:tcPr>
          <w:p>
            <w:pPr>
              <w:spacing w:after="0" w:before="0"/>
              <w:jc w:val="left"/>
            </w:pPr>
            <w:r>
              <w:rPr>
                <w:sz w:val="19"/>
                <w:szCs w:val="19"/>
              </w:rPr>
              <w:t xml:space="preserve">Polynomial</w:t>
            </w:r>
          </w:p>
        </w:tc>
        <w:tc>
          <w:tcPr>
            <w:tcW w:type="dxa" w:w="2016"/>
            <w:tcMar>
              <w:top w:type="dxa" w:w="60"/>
              <w:left w:type="dxa" w:w="110"/>
              <w:bottom w:type="dxa" w:w="60"/>
              <w:right w:type="dxa" w:w="110"/>
            </w:tcMar>
          </w:tcPr>
          <w:p>
            <w:pPr>
              <w:spacing w:after="0" w:before="0"/>
              <w:jc w:val="left"/>
            </w:pPr>
            <w:r>
              <w:rPr>
                <w:sz w:val="19"/>
                <w:szCs w:val="19"/>
              </w:rPr>
              <w:t xml:space="preserve">DJF</w:t>
            </w:r>
          </w:p>
        </w:tc>
        <w:tc>
          <w:tcPr>
            <w:tcW w:type="dxa" w:w="2016"/>
            <w:tcMar>
              <w:top w:type="dxa" w:w="60"/>
              <w:left w:type="dxa" w:w="110"/>
              <w:bottom w:type="dxa" w:w="60"/>
              <w:right w:type="dxa" w:w="110"/>
            </w:tcMar>
          </w:tcPr>
          <w:p>
            <w:pPr>
              <w:spacing w:after="0" w:before="0"/>
              <w:jc w:val="left"/>
            </w:pPr>
            <w:r>
              <w:rPr>
                <w:sz w:val="19"/>
                <w:szCs w:val="19"/>
              </w:rPr>
              <w:t xml:space="preserve">degree 2</w:t>
            </w:r>
          </w:p>
        </w:tc>
        <w:tc>
          <w:tcPr>
            <w:tcW w:type="dxa" w:w="2016"/>
            <w:tcMar>
              <w:top w:type="dxa" w:w="60"/>
              <w:left w:type="dxa" w:w="110"/>
              <w:bottom w:type="dxa" w:w="60"/>
              <w:right w:type="dxa" w:w="110"/>
            </w:tcMar>
          </w:tcPr>
          <w:p>
            <w:pPr>
              <w:spacing w:after="0" w:before="0"/>
              <w:jc w:val="right"/>
            </w:pPr>
            <w:r>
              <w:rPr>
                <w:sz w:val="19"/>
                <w:szCs w:val="19"/>
              </w:rPr>
              <w:t xml:space="preserve">0.013</w:t>
            </w:r>
          </w:p>
        </w:tc>
        <w:tc>
          <w:tcPr>
            <w:tcW w:type="dxa" w:w="2016"/>
            <w:tcMar>
              <w:top w:type="dxa" w:w="60"/>
              <w:left w:type="dxa" w:w="110"/>
              <w:bottom w:type="dxa" w:w="60"/>
              <w:right w:type="dxa" w:w="110"/>
            </w:tcMar>
          </w:tcPr>
          <w:p>
            <w:pPr>
              <w:spacing w:after="0" w:before="0"/>
              <w:jc w:val="left"/>
            </w:pPr>
            <w:r>
              <w:rPr>
                <w:sz w:val="19"/>
                <w:szCs w:val="19"/>
              </w:rPr>
              <w:t xml:space="preserve">yes</w:t>
            </w:r>
          </w:p>
        </w:tc>
      </w:tr>
      <w:tr>
        <w:trPr>
          <w:tblHeader w:val="false"/>
        </w:trPr>
        <w:tc>
          <w:tcPr>
            <w:tcW w:type="dxa" w:w="2016"/>
            <w:tcMar>
              <w:top w:type="dxa" w:w="60"/>
              <w:left w:type="dxa" w:w="110"/>
              <w:bottom w:type="dxa" w:w="60"/>
              <w:right w:type="dxa" w:w="110"/>
            </w:tcMar>
          </w:tcPr>
          <w:p>
            <w:pPr>
              <w:spacing w:after="0" w:before="0"/>
              <w:jc w:val="left"/>
            </w:pPr>
            <w:r>
              <w:rPr>
                <w:sz w:val="19"/>
                <w:szCs w:val="19"/>
              </w:rPr>
              <w:t xml:space="preserve">Polynomial</w:t>
            </w:r>
          </w:p>
        </w:tc>
        <w:tc>
          <w:tcPr>
            <w:tcW w:type="dxa" w:w="2016"/>
            <w:tcMar>
              <w:top w:type="dxa" w:w="60"/>
              <w:left w:type="dxa" w:w="110"/>
              <w:bottom w:type="dxa" w:w="60"/>
              <w:right w:type="dxa" w:w="110"/>
            </w:tcMar>
          </w:tcPr>
          <w:p>
            <w:pPr>
              <w:spacing w:after="0" w:before="0"/>
              <w:jc w:val="left"/>
            </w:pPr>
            <w:r>
              <w:rPr>
                <w:sz w:val="19"/>
                <w:szCs w:val="19"/>
              </w:rPr>
              <w:t xml:space="preserve">JJA</w:t>
            </w:r>
          </w:p>
        </w:tc>
        <w:tc>
          <w:tcPr>
            <w:tcW w:type="dxa" w:w="2016"/>
            <w:tcMar>
              <w:top w:type="dxa" w:w="60"/>
              <w:left w:type="dxa" w:w="110"/>
              <w:bottom w:type="dxa" w:w="60"/>
              <w:right w:type="dxa" w:w="110"/>
            </w:tcMar>
          </w:tcPr>
          <w:p>
            <w:pPr>
              <w:spacing w:after="0" w:before="0"/>
              <w:jc w:val="left"/>
            </w:pPr>
            <w:r>
              <w:rPr>
                <w:sz w:val="19"/>
                <w:szCs w:val="19"/>
              </w:rPr>
              <w:t xml:space="preserve">degree 5</w:t>
            </w:r>
          </w:p>
        </w:tc>
        <w:tc>
          <w:tcPr>
            <w:tcW w:type="dxa" w:w="2016"/>
            <w:tcMar>
              <w:top w:type="dxa" w:w="60"/>
              <w:left w:type="dxa" w:w="110"/>
              <w:bottom w:type="dxa" w:w="60"/>
              <w:right w:type="dxa" w:w="110"/>
            </w:tcMar>
          </w:tcPr>
          <w:p>
            <w:pPr>
              <w:spacing w:after="0" w:before="0"/>
              <w:jc w:val="right"/>
            </w:pPr>
            <w:r>
              <w:rPr>
                <w:sz w:val="19"/>
                <w:szCs w:val="19"/>
              </w:rPr>
              <w:t xml:space="preserve">0.009</w:t>
            </w:r>
          </w:p>
        </w:tc>
        <w:tc>
          <w:tcPr>
            <w:tcW w:type="dxa" w:w="2016"/>
            <w:tcMar>
              <w:top w:type="dxa" w:w="60"/>
              <w:left w:type="dxa" w:w="110"/>
              <w:bottom w:type="dxa" w:w="60"/>
              <w:right w:type="dxa" w:w="110"/>
            </w:tcMar>
          </w:tcPr>
          <w:p>
            <w:pPr>
              <w:spacing w:after="0" w:before="0"/>
              <w:jc w:val="left"/>
            </w:pPr>
            <w:r>
              <w:rPr>
                <w:sz w:val="19"/>
                <w:szCs w:val="19"/>
              </w:rPr>
              <w:t xml:space="preserve">no</w:t>
            </w:r>
          </w:p>
        </w:tc>
      </w:tr>
      <w:tr>
        <w:trPr>
          <w:tblHeader w:val="false"/>
        </w:trPr>
        <w:tc>
          <w:tcPr>
            <w:tcW w:type="dxa" w:w="2016"/>
            <w:tcMar>
              <w:top w:type="dxa" w:w="60"/>
              <w:left w:type="dxa" w:w="110"/>
              <w:bottom w:type="dxa" w:w="60"/>
              <w:right w:type="dxa" w:w="110"/>
            </w:tcMar>
          </w:tcPr>
          <w:p>
            <w:pPr>
              <w:spacing w:after="0" w:before="0"/>
              <w:jc w:val="left"/>
            </w:pPr>
            <w:r>
              <w:rPr>
                <w:sz w:val="19"/>
                <w:szCs w:val="19"/>
              </w:rPr>
              <w:t xml:space="preserve">QUANT</w:t>
            </w:r>
          </w:p>
        </w:tc>
        <w:tc>
          <w:tcPr>
            <w:tcW w:type="dxa" w:w="2016"/>
            <w:tcMar>
              <w:top w:type="dxa" w:w="60"/>
              <w:left w:type="dxa" w:w="110"/>
              <w:bottom w:type="dxa" w:w="60"/>
              <w:right w:type="dxa" w:w="110"/>
            </w:tcMar>
          </w:tcPr>
          <w:p>
            <w:pPr>
              <w:spacing w:after="0" w:before="0"/>
              <w:jc w:val="left"/>
            </w:pPr>
            <w:r>
              <w:rPr>
                <w:sz w:val="19"/>
                <w:szCs w:val="19"/>
              </w:rPr>
              <w:t xml:space="preserve">MAM</w:t>
            </w:r>
          </w:p>
        </w:tc>
        <w:tc>
          <w:tcPr>
            <w:tcW w:type="dxa" w:w="2016"/>
            <w:tcMar>
              <w:top w:type="dxa" w:w="60"/>
              <w:left w:type="dxa" w:w="110"/>
              <w:bottom w:type="dxa" w:w="60"/>
              <w:right w:type="dxa" w:w="110"/>
            </w:tcMar>
          </w:tcPr>
          <w:p>
            <w:pPr>
              <w:spacing w:after="0" w:before="0"/>
              <w:jc w:val="left"/>
            </w:pPr>
            <w:r>
              <w:rPr>
                <w:sz w:val="19"/>
                <w:szCs w:val="19"/>
              </w:rPr>
              <w:t xml:space="preserve">19 nodes</w:t>
            </w:r>
          </w:p>
        </w:tc>
        <w:tc>
          <w:tcPr>
            <w:tcW w:type="dxa" w:w="2016"/>
            <w:tcMar>
              <w:top w:type="dxa" w:w="60"/>
              <w:left w:type="dxa" w:w="110"/>
              <w:bottom w:type="dxa" w:w="60"/>
              <w:right w:type="dxa" w:w="110"/>
            </w:tcMar>
          </w:tcPr>
          <w:p>
            <w:pPr>
              <w:spacing w:after="0" w:before="0"/>
              <w:jc w:val="right"/>
            </w:pPr>
            <w:r>
              <w:rPr>
                <w:sz w:val="19"/>
                <w:szCs w:val="19"/>
              </w:rPr>
              <w:t xml:space="preserve">0.007</w:t>
            </w:r>
          </w:p>
        </w:tc>
        <w:tc>
          <w:tcPr>
            <w:tcW w:type="dxa" w:w="2016"/>
            <w:tcMar>
              <w:top w:type="dxa" w:w="60"/>
              <w:left w:type="dxa" w:w="110"/>
              <w:bottom w:type="dxa" w:w="60"/>
              <w:right w:type="dxa" w:w="110"/>
            </w:tcMar>
          </w:tcPr>
          <w:p>
            <w:pPr>
              <w:spacing w:after="0" w:before="0"/>
              <w:jc w:val="left"/>
            </w:pPr>
            <w:r>
              <w:rPr>
                <w:sz w:val="19"/>
                <w:szCs w:val="19"/>
              </w:rPr>
              <w:t xml:space="preserve">no</w:t>
            </w:r>
          </w:p>
        </w:tc>
      </w:tr>
      <w:tr>
        <w:trPr>
          <w:tblHeader w:val="false"/>
        </w:trPr>
        <w:tc>
          <w:tcPr>
            <w:tcW w:type="dxa" w:w="2016"/>
            <w:tcMar>
              <w:top w:type="dxa" w:w="60"/>
              <w:left w:type="dxa" w:w="110"/>
              <w:bottom w:type="dxa" w:w="60"/>
              <w:right w:type="dxa" w:w="110"/>
            </w:tcMar>
          </w:tcPr>
          <w:p>
            <w:pPr>
              <w:spacing w:after="0" w:before="0"/>
              <w:jc w:val="left"/>
            </w:pPr>
            <w:r>
              <w:rPr>
                <w:sz w:val="19"/>
                <w:szCs w:val="19"/>
              </w:rPr>
              <w:t xml:space="preserve">QUANT</w:t>
            </w:r>
          </w:p>
        </w:tc>
        <w:tc>
          <w:tcPr>
            <w:tcW w:type="dxa" w:w="2016"/>
            <w:tcMar>
              <w:top w:type="dxa" w:w="60"/>
              <w:left w:type="dxa" w:w="110"/>
              <w:bottom w:type="dxa" w:w="60"/>
              <w:right w:type="dxa" w:w="110"/>
            </w:tcMar>
          </w:tcPr>
          <w:p>
            <w:pPr>
              <w:spacing w:after="0" w:before="0"/>
              <w:jc w:val="left"/>
            </w:pPr>
            <w:r>
              <w:rPr>
                <w:sz w:val="19"/>
                <w:szCs w:val="19"/>
              </w:rPr>
              <w:t xml:space="preserve">DJF</w:t>
            </w:r>
          </w:p>
        </w:tc>
        <w:tc>
          <w:tcPr>
            <w:tcW w:type="dxa" w:w="2016"/>
            <w:tcMar>
              <w:top w:type="dxa" w:w="60"/>
              <w:left w:type="dxa" w:w="110"/>
              <w:bottom w:type="dxa" w:w="60"/>
              <w:right w:type="dxa" w:w="110"/>
            </w:tcMar>
          </w:tcPr>
          <w:p>
            <w:pPr>
              <w:spacing w:after="0" w:before="0"/>
              <w:jc w:val="left"/>
            </w:pPr>
            <w:r>
              <w:rPr>
                <w:sz w:val="19"/>
                <w:szCs w:val="19"/>
              </w:rPr>
              <w:t xml:space="preserve">11 nodes</w:t>
            </w:r>
          </w:p>
        </w:tc>
        <w:tc>
          <w:tcPr>
            <w:tcW w:type="dxa" w:w="2016"/>
            <w:tcMar>
              <w:top w:type="dxa" w:w="60"/>
              <w:left w:type="dxa" w:w="110"/>
              <w:bottom w:type="dxa" w:w="60"/>
              <w:right w:type="dxa" w:w="110"/>
            </w:tcMar>
          </w:tcPr>
          <w:p>
            <w:pPr>
              <w:spacing w:after="0" w:before="0"/>
              <w:jc w:val="right"/>
            </w:pPr>
            <w:r>
              <w:rPr>
                <w:sz w:val="19"/>
                <w:szCs w:val="19"/>
              </w:rPr>
              <w:t xml:space="preserve">0.005</w:t>
            </w:r>
          </w:p>
        </w:tc>
        <w:tc>
          <w:tcPr>
            <w:tcW w:type="dxa" w:w="2016"/>
            <w:tcMar>
              <w:top w:type="dxa" w:w="60"/>
              <w:left w:type="dxa" w:w="110"/>
              <w:bottom w:type="dxa" w:w="60"/>
              <w:right w:type="dxa" w:w="110"/>
            </w:tcMar>
          </w:tcPr>
          <w:p>
            <w:pPr>
              <w:spacing w:after="0" w:before="0"/>
              <w:jc w:val="left"/>
            </w:pPr>
            <w:r>
              <w:rPr>
                <w:sz w:val="19"/>
                <w:szCs w:val="19"/>
              </w:rPr>
              <w:t xml:space="preserve">no</w:t>
            </w:r>
          </w:p>
        </w:tc>
      </w:tr>
      <w:tr>
        <w:trPr>
          <w:tblHeader w:val="false"/>
        </w:trPr>
        <w:tc>
          <w:tcPr>
            <w:tcW w:type="dxa" w:w="2016"/>
            <w:tcMar>
              <w:top w:type="dxa" w:w="60"/>
              <w:left w:type="dxa" w:w="110"/>
              <w:bottom w:type="dxa" w:w="60"/>
              <w:right w:type="dxa" w:w="110"/>
            </w:tcMar>
          </w:tcPr>
          <w:p>
            <w:pPr>
              <w:spacing w:after="0" w:before="0"/>
              <w:jc w:val="left"/>
            </w:pPr>
            <w:r>
              <w:rPr>
                <w:sz w:val="19"/>
                <w:szCs w:val="19"/>
              </w:rPr>
              <w:t xml:space="preserve">RQUANT</w:t>
            </w:r>
          </w:p>
        </w:tc>
        <w:tc>
          <w:tcPr>
            <w:tcW w:type="dxa" w:w="2016"/>
            <w:tcMar>
              <w:top w:type="dxa" w:w="60"/>
              <w:left w:type="dxa" w:w="110"/>
              <w:bottom w:type="dxa" w:w="60"/>
              <w:right w:type="dxa" w:w="110"/>
            </w:tcMar>
          </w:tcPr>
          <w:p>
            <w:pPr>
              <w:spacing w:after="0" w:before="0"/>
              <w:jc w:val="left"/>
            </w:pPr>
            <w:r>
              <w:rPr>
                <w:sz w:val="19"/>
                <w:szCs w:val="19"/>
              </w:rPr>
              <w:t xml:space="preserve">MAM</w:t>
            </w:r>
          </w:p>
        </w:tc>
        <w:tc>
          <w:tcPr>
            <w:tcW w:type="dxa" w:w="2016"/>
            <w:tcMar>
              <w:top w:type="dxa" w:w="60"/>
              <w:left w:type="dxa" w:w="110"/>
              <w:bottom w:type="dxa" w:w="60"/>
              <w:right w:type="dxa" w:w="110"/>
            </w:tcMar>
          </w:tcPr>
          <w:p>
            <w:pPr>
              <w:spacing w:after="0" w:before="0"/>
              <w:jc w:val="left"/>
            </w:pPr>
            <w:r>
              <w:rPr>
                <w:sz w:val="19"/>
                <w:szCs w:val="19"/>
              </w:rPr>
              <w:t xml:space="preserve">window 15</w:t>
            </w:r>
          </w:p>
        </w:tc>
        <w:tc>
          <w:tcPr>
            <w:tcW w:type="dxa" w:w="2016"/>
            <w:tcMar>
              <w:top w:type="dxa" w:w="60"/>
              <w:left w:type="dxa" w:w="110"/>
              <w:bottom w:type="dxa" w:w="60"/>
              <w:right w:type="dxa" w:w="110"/>
            </w:tcMar>
          </w:tcPr>
          <w:p>
            <w:pPr>
              <w:spacing w:after="0" w:before="0"/>
              <w:jc w:val="right"/>
            </w:pPr>
            <w:r>
              <w:rPr>
                <w:sz w:val="19"/>
                <w:szCs w:val="19"/>
              </w:rPr>
              <w:t xml:space="preserve">0.004</w:t>
            </w:r>
          </w:p>
        </w:tc>
        <w:tc>
          <w:tcPr>
            <w:tcW w:type="dxa" w:w="2016"/>
            <w:tcMar>
              <w:top w:type="dxa" w:w="60"/>
              <w:left w:type="dxa" w:w="110"/>
              <w:bottom w:type="dxa" w:w="60"/>
              <w:right w:type="dxa" w:w="110"/>
            </w:tcMar>
          </w:tcPr>
          <w:p>
            <w:pPr>
              <w:spacing w:after="0" w:before="0"/>
              <w:jc w:val="left"/>
            </w:pPr>
            <w:r>
              <w:rPr>
                <w:sz w:val="19"/>
                <w:szCs w:val="19"/>
              </w:rPr>
              <w:t xml:space="preserve">no</w:t>
            </w:r>
          </w:p>
        </w:tc>
      </w:tr>
      <w:tr>
        <w:trPr>
          <w:tblHeader w:val="false"/>
        </w:trPr>
        <w:tc>
          <w:tcPr>
            <w:tcW w:type="dxa" w:w="2016"/>
            <w:tcMar>
              <w:top w:type="dxa" w:w="60"/>
              <w:left w:type="dxa" w:w="110"/>
              <w:bottom w:type="dxa" w:w="60"/>
              <w:right w:type="dxa" w:w="110"/>
            </w:tcMar>
          </w:tcPr>
          <w:p>
            <w:pPr>
              <w:spacing w:after="0" w:before="0"/>
              <w:jc w:val="left"/>
            </w:pPr>
            <w:r>
              <w:rPr>
                <w:sz w:val="19"/>
                <w:szCs w:val="19"/>
              </w:rPr>
              <w:t xml:space="preserve">RQUANT</w:t>
            </w:r>
          </w:p>
        </w:tc>
        <w:tc>
          <w:tcPr>
            <w:tcW w:type="dxa" w:w="2016"/>
            <w:tcMar>
              <w:top w:type="dxa" w:w="60"/>
              <w:left w:type="dxa" w:w="110"/>
              <w:bottom w:type="dxa" w:w="60"/>
              <w:right w:type="dxa" w:w="110"/>
            </w:tcMar>
          </w:tcPr>
          <w:p>
            <w:pPr>
              <w:spacing w:after="0" w:before="0"/>
              <w:jc w:val="left"/>
            </w:pPr>
            <w:r>
              <w:rPr>
                <w:sz w:val="19"/>
                <w:szCs w:val="19"/>
              </w:rPr>
              <w:t xml:space="preserve">DJF</w:t>
            </w:r>
          </w:p>
        </w:tc>
        <w:tc>
          <w:tcPr>
            <w:tcW w:type="dxa" w:w="2016"/>
            <w:tcMar>
              <w:top w:type="dxa" w:w="60"/>
              <w:left w:type="dxa" w:w="110"/>
              <w:bottom w:type="dxa" w:w="60"/>
              <w:right w:type="dxa" w:w="110"/>
            </w:tcMar>
          </w:tcPr>
          <w:p>
            <w:pPr>
              <w:spacing w:after="0" w:before="0"/>
              <w:jc w:val="left"/>
            </w:pPr>
            <w:r>
              <w:rPr>
                <w:sz w:val="19"/>
                <w:szCs w:val="19"/>
              </w:rPr>
              <w:t xml:space="preserve">window 65</w:t>
            </w:r>
          </w:p>
        </w:tc>
        <w:tc>
          <w:tcPr>
            <w:tcW w:type="dxa" w:w="2016"/>
            <w:tcMar>
              <w:top w:type="dxa" w:w="60"/>
              <w:left w:type="dxa" w:w="110"/>
              <w:bottom w:type="dxa" w:w="60"/>
              <w:right w:type="dxa" w:w="110"/>
            </w:tcMar>
          </w:tcPr>
          <w:p>
            <w:pPr>
              <w:spacing w:after="0" w:before="0"/>
              <w:jc w:val="right"/>
            </w:pPr>
            <w:r>
              <w:rPr>
                <w:sz w:val="19"/>
                <w:szCs w:val="19"/>
              </w:rPr>
              <w:t xml:space="preserve">0.004</w:t>
            </w:r>
          </w:p>
        </w:tc>
        <w:tc>
          <w:tcPr>
            <w:tcW w:type="dxa" w:w="2016"/>
            <w:tcMar>
              <w:top w:type="dxa" w:w="60"/>
              <w:left w:type="dxa" w:w="110"/>
              <w:bottom w:type="dxa" w:w="60"/>
              <w:right w:type="dxa" w:w="110"/>
            </w:tcMar>
          </w:tcPr>
          <w:p>
            <w:pPr>
              <w:spacing w:after="0" w:before="0"/>
              <w:jc w:val="left"/>
            </w:pPr>
            <w:r>
              <w:rPr>
                <w:sz w:val="19"/>
                <w:szCs w:val="19"/>
              </w:rPr>
              <w:t xml:space="preserve">no</w:t>
            </w:r>
          </w:p>
        </w:tc>
      </w:tr>
      <w:tr>
        <w:trPr>
          <w:tblHeader w:val="false"/>
        </w:trPr>
        <w:tc>
          <w:tcPr>
            <w:tcW w:type="dxa" w:w="2016"/>
            <w:tcMar>
              <w:top w:type="dxa" w:w="60"/>
              <w:left w:type="dxa" w:w="110"/>
              <w:bottom w:type="dxa" w:w="60"/>
              <w:right w:type="dxa" w:w="110"/>
            </w:tcMar>
          </w:tcPr>
          <w:p>
            <w:pPr>
              <w:spacing w:after="0" w:before="0"/>
              <w:jc w:val="left"/>
            </w:pPr>
            <w:r>
              <w:rPr>
                <w:sz w:val="19"/>
                <w:szCs w:val="19"/>
              </w:rPr>
              <w:t xml:space="preserve">SSPLIN</w:t>
            </w:r>
          </w:p>
        </w:tc>
        <w:tc>
          <w:tcPr>
            <w:tcW w:type="dxa" w:w="2016"/>
            <w:tcMar>
              <w:top w:type="dxa" w:w="60"/>
              <w:left w:type="dxa" w:w="110"/>
              <w:bottom w:type="dxa" w:w="60"/>
              <w:right w:type="dxa" w:w="110"/>
            </w:tcMar>
          </w:tcPr>
          <w:p>
            <w:pPr>
              <w:spacing w:after="0" w:before="0"/>
              <w:jc w:val="left"/>
            </w:pPr>
            <w:r>
              <w:rPr>
                <w:sz w:val="19"/>
                <w:szCs w:val="19"/>
              </w:rPr>
              <w:t xml:space="preserve">JJA</w:t>
            </w:r>
          </w:p>
        </w:tc>
        <w:tc>
          <w:tcPr>
            <w:tcW w:type="dxa" w:w="2016"/>
            <w:tcMar>
              <w:top w:type="dxa" w:w="60"/>
              <w:left w:type="dxa" w:w="110"/>
              <w:bottom w:type="dxa" w:w="60"/>
              <w:right w:type="dxa" w:w="110"/>
            </w:tcMar>
          </w:tcPr>
          <w:p>
            <w:pPr>
              <w:spacing w:after="0" w:before="0"/>
              <w:jc w:val="left"/>
            </w:pPr>
            <w:r>
              <w:rPr>
                <w:sz w:val="19"/>
                <w:szCs w:val="19"/>
              </w:rPr>
              <w:t xml:space="preserve">λ = 10</w:t>
            </w:r>
          </w:p>
        </w:tc>
        <w:tc>
          <w:tcPr>
            <w:tcW w:type="dxa" w:w="2016"/>
            <w:tcMar>
              <w:top w:type="dxa" w:w="60"/>
              <w:left w:type="dxa" w:w="110"/>
              <w:bottom w:type="dxa" w:w="60"/>
              <w:right w:type="dxa" w:w="110"/>
            </w:tcMar>
          </w:tcPr>
          <w:p>
            <w:pPr>
              <w:spacing w:after="0" w:before="0"/>
              <w:jc w:val="right"/>
            </w:pPr>
            <w:r>
              <w:rPr>
                <w:sz w:val="19"/>
                <w:szCs w:val="19"/>
              </w:rPr>
              <w:t xml:space="preserve">0.003</w:t>
            </w:r>
          </w:p>
        </w:tc>
        <w:tc>
          <w:tcPr>
            <w:tcW w:type="dxa" w:w="2016"/>
            <w:tcMar>
              <w:top w:type="dxa" w:w="60"/>
              <w:left w:type="dxa" w:w="110"/>
              <w:bottom w:type="dxa" w:w="60"/>
              <w:right w:type="dxa" w:w="110"/>
            </w:tcMar>
          </w:tcPr>
          <w:p>
            <w:pPr>
              <w:spacing w:after="0" w:before="0"/>
              <w:jc w:val="left"/>
            </w:pPr>
            <w:r>
              <w:rPr>
                <w:sz w:val="19"/>
                <w:szCs w:val="19"/>
              </w:rPr>
              <w:t xml:space="preserve">no</w:t>
            </w:r>
          </w:p>
        </w:tc>
      </w:tr>
      <w:tr>
        <w:trPr>
          <w:tblHeader w:val="false"/>
        </w:trPr>
        <w:tc>
          <w:tcPr>
            <w:tcW w:type="dxa" w:w="2016"/>
            <w:tcMar>
              <w:top w:type="dxa" w:w="60"/>
              <w:left w:type="dxa" w:w="110"/>
              <w:bottom w:type="dxa" w:w="60"/>
              <w:right w:type="dxa" w:w="110"/>
            </w:tcMar>
          </w:tcPr>
          <w:p>
            <w:pPr>
              <w:spacing w:after="0" w:before="0"/>
              <w:jc w:val="left"/>
            </w:pPr>
            <w:r>
              <w:rPr>
                <w:sz w:val="19"/>
                <w:szCs w:val="19"/>
              </w:rPr>
              <w:t xml:space="preserve">RQUANT</w:t>
            </w:r>
          </w:p>
        </w:tc>
        <w:tc>
          <w:tcPr>
            <w:tcW w:type="dxa" w:w="2016"/>
            <w:tcMar>
              <w:top w:type="dxa" w:w="60"/>
              <w:left w:type="dxa" w:w="110"/>
              <w:bottom w:type="dxa" w:w="60"/>
              <w:right w:type="dxa" w:w="110"/>
            </w:tcMar>
          </w:tcPr>
          <w:p>
            <w:pPr>
              <w:spacing w:after="0" w:before="0"/>
              <w:jc w:val="left"/>
            </w:pPr>
            <w:r>
              <w:rPr>
                <w:sz w:val="19"/>
                <w:szCs w:val="19"/>
              </w:rPr>
              <w:t xml:space="preserve">JJA</w:t>
            </w:r>
          </w:p>
        </w:tc>
        <w:tc>
          <w:tcPr>
            <w:tcW w:type="dxa" w:w="2016"/>
            <w:tcMar>
              <w:top w:type="dxa" w:w="60"/>
              <w:left w:type="dxa" w:w="110"/>
              <w:bottom w:type="dxa" w:w="60"/>
              <w:right w:type="dxa" w:w="110"/>
            </w:tcMar>
          </w:tcPr>
          <w:p>
            <w:pPr>
              <w:spacing w:after="0" w:before="0"/>
              <w:jc w:val="left"/>
            </w:pPr>
            <w:r>
              <w:rPr>
                <w:sz w:val="19"/>
                <w:szCs w:val="19"/>
              </w:rPr>
              <w:t xml:space="preserve">window 25</w:t>
            </w:r>
          </w:p>
        </w:tc>
        <w:tc>
          <w:tcPr>
            <w:tcW w:type="dxa" w:w="2016"/>
            <w:tcMar>
              <w:top w:type="dxa" w:w="60"/>
              <w:left w:type="dxa" w:w="110"/>
              <w:bottom w:type="dxa" w:w="60"/>
              <w:right w:type="dxa" w:w="110"/>
            </w:tcMar>
          </w:tcPr>
          <w:p>
            <w:pPr>
              <w:spacing w:after="0" w:before="0"/>
              <w:jc w:val="right"/>
            </w:pPr>
            <w:r>
              <w:rPr>
                <w:sz w:val="19"/>
                <w:szCs w:val="19"/>
              </w:rPr>
              <w:t xml:space="preserve">0.003</w:t>
            </w:r>
          </w:p>
        </w:tc>
        <w:tc>
          <w:tcPr>
            <w:tcW w:type="dxa" w:w="2016"/>
            <w:tcMar>
              <w:top w:type="dxa" w:w="60"/>
              <w:left w:type="dxa" w:w="110"/>
              <w:bottom w:type="dxa" w:w="60"/>
              <w:right w:type="dxa" w:w="110"/>
            </w:tcMar>
          </w:tcPr>
          <w:p>
            <w:pPr>
              <w:spacing w:after="0" w:before="0"/>
              <w:jc w:val="left"/>
            </w:pPr>
            <w:r>
              <w:rPr>
                <w:sz w:val="19"/>
                <w:szCs w:val="19"/>
              </w:rPr>
              <w:t xml:space="preserve">no</w:t>
            </w:r>
          </w:p>
        </w:tc>
      </w:tr>
    </w:tbl>
    <w:p>
      <w:pPr>
        <w:spacing w:after="100"/>
      </w:pPr>
    </w:p>
    <w:p>
      <w:pPr>
        <w:spacing w:after="200" w:before="60"/>
      </w:pPr>
      <w:r>
        <w:rPr>
          <w:b/>
          <w:bCs/>
          <w:color w:val="5A6A73"/>
          <w:sz w:val="18"/>
          <w:szCs w:val="18"/>
        </w:rPr>
        <w:t xml:space="preserve">Table 7.</w:t>
      </w:r>
      <w:r>
        <w:rPr>
          <w:color w:val="5A6A73"/>
          <w:sz w:val="18"/>
          <w:szCs w:val="18"/>
        </w:rPr>
        <w:t xml:space="preserve"> Inner-CV spread and shape behind each selection, ordered by spread. "Spread" is the range of inner-CV MAE across the grid, in °C. A non-monotone score indicates the selection is not driven by the parameter.</w:t>
      </w:r>
    </w:p>
    <w:p>
      <w:pPr>
        <w:spacing w:after="120" w:before="60"/>
        <w:jc w:val="left"/>
      </w:pPr>
      <w:r>
        <w:rPr>
          <w:sz w:val="21"/>
          <w:szCs w:val="21"/>
        </w:rPr>
        <w:t xml:space="preserve">Two patterns survive that filter.</w:t>
      </w:r>
    </w:p>
    <w:p>
      <w:pPr>
        <w:spacing w:after="120" w:before="60"/>
        <w:jc w:val="left"/>
      </w:pPr>
      <w:r>
        <w:rPr>
          <w:b/>
          <w:bCs/>
          <w:sz w:val="21"/>
          <w:szCs w:val="21"/>
        </w:rPr>
        <w:t xml:space="preserve">SON prefers maximum smoothing, consistently.</w:t>
      </w:r>
      <w:r>
        <w:rPr>
          <w:sz w:val="21"/>
          <w:szCs w:val="21"/>
        </w:rPr>
        <w:t xml:space="preserve"> All four tunable methods select the smoothest end of their grid in SON, all four are monotone, and the spreads are the largest in the table (0.025 to 0.063 °C). Autumn has the most variable tails, and every method independently finds that following them generalises worse than smoothing over them.</w:t>
      </w:r>
    </w:p>
    <w:p>
      <w:pPr>
        <w:spacing w:after="120" w:before="60"/>
        <w:jc w:val="left"/>
      </w:pPr>
      <w:r>
        <w:rPr>
          <w:b/>
          <w:bCs/>
          <w:sz w:val="21"/>
          <w:szCs w:val="21"/>
        </w:rPr>
        <w:t xml:space="preserve">JJA prefers less smoothing in QUANT.</w:t>
      </w:r>
      <w:r>
        <w:rPr>
          <w:sz w:val="21"/>
          <w:szCs w:val="21"/>
        </w:rPr>
        <w:t xml:space="preserve"> Its inner-CV score falls monotonically from 11 to 99 nodes, so the summer distribution supports a finer table. Summer is the season with the smallest year-to-year spread.</w:t>
      </w:r>
    </w:p>
    <w:p>
      <w:pPr>
        <w:spacing w:after="120" w:before="60"/>
        <w:jc w:val="left"/>
      </w:pPr>
      <w:r>
        <w:rPr>
          <w:sz w:val="21"/>
          <w:szCs w:val="21"/>
        </w:rPr>
        <w:t xml:space="preserve">DJF is mixed. SSPLIN and Polynomial show a real preference for smoothing, while QUANT and RQUANT show none: QUANT's four candidates span 0.005 °C in an order that is not monotone (11, 49, 19, 99), so its selection of 11 nodes is arbitrary rather than informative. MAM is mostly noise as well.</w:t>
      </w:r>
    </w:p>
    <w:p>
      <w:pPr>
        <w:spacing w:after="120" w:before="60"/>
        <w:jc w:val="left"/>
      </w:pPr>
      <w:r>
        <w:rPr>
          <w:sz w:val="21"/>
          <w:szCs w:val="21"/>
        </w:rPr>
        <w:t xml:space="preserve">The practical consequence is that the hyper-parameter grids can be narrowed or dropped for future work. Only SON, and QUANT in JJA, show a preference worth acting on.</w:t>
      </w:r>
    </w:p>
    <w:p>
      <w:pPr>
        <w:pStyle w:val="Heading2"/>
        <w:spacing w:after="120" w:before="260"/>
        <w:outlineLvl w:val="2"/>
      </w:pPr>
      <w:r>
        <w:t xml:space="preserve">Fit diagnostics</w:t>
      </w:r>
    </w:p>
    <w:tbl>
      <w:tblPr>
        <w:tblW w:type="dxa" w:w="10080"/>
        <w:tblBorders>
          <w:top w:val="single" w:color="D5DBDE" w:sz="2"/>
          <w:left w:val="single" w:color="D5DBDE" w:sz="2"/>
          <w:bottom w:val="single" w:color="D5DBDE" w:sz="2"/>
          <w:right w:val="single" w:color="D5DBDE" w:sz="2"/>
          <w:insideH w:val="single" w:color="D5DBDE" w:sz="2"/>
          <w:insideV w:val="single" w:color="D5DBDE" w:sz="2"/>
        </w:tblBorders>
      </w:tblPr>
      <w:tblGrid>
        <w:gridCol w:w="3360"/>
        <w:gridCol w:w="3360"/>
        <w:gridCol w:w="3360"/>
      </w:tblGrid>
      <w:tr>
        <w:trPr>
          <w:tblHeader/>
        </w:trPr>
        <w:tc>
          <w:tcPr>
            <w:tcW w:type="dxa" w:w="3360"/>
            <w:shd w:fill="F2F4F5" w:color="auto" w:val="clear"/>
            <w:tcMar>
              <w:top w:type="dxa" w:w="60"/>
              <w:left w:type="dxa" w:w="110"/>
              <w:bottom w:type="dxa" w:w="60"/>
              <w:right w:type="dxa" w:w="110"/>
            </w:tcMar>
          </w:tcPr>
          <w:p>
            <w:pPr>
              <w:spacing w:after="0" w:before="0"/>
              <w:jc w:val="left"/>
            </w:pPr>
            <w:r>
              <w:rPr>
                <w:b/>
                <w:bCs/>
                <w:sz w:val="19"/>
                <w:szCs w:val="19"/>
              </w:rPr>
              <w:t xml:space="preserve">Method</w:t>
            </w:r>
          </w:p>
        </w:tc>
        <w:tc>
          <w:tcPr>
            <w:tcW w:type="dxa" w:w="3360"/>
            <w:shd w:fill="F2F4F5" w:color="auto" w:val="clear"/>
            <w:tcMar>
              <w:top w:type="dxa" w:w="60"/>
              <w:left w:type="dxa" w:w="110"/>
              <w:bottom w:type="dxa" w:w="60"/>
              <w:right w:type="dxa" w:w="110"/>
            </w:tcMar>
          </w:tcPr>
          <w:p>
            <w:pPr>
              <w:spacing w:after="0" w:before="0"/>
              <w:jc w:val="left"/>
            </w:pPr>
            <w:r>
              <w:rPr>
                <w:b/>
                <w:bCs/>
                <w:sz w:val="19"/>
                <w:szCs w:val="19"/>
              </w:rPr>
              <w:t xml:space="preserve">Non-monotone </w:t>
            </w:r>
            <w:r>
              <w:rPr>
                <w:rFonts w:ascii="Consolas" w:cs="Consolas" w:eastAsia="Consolas" w:hAnsi="Consolas"/>
                <w:b/>
                <w:bCs/>
                <w:sz w:val="19"/>
                <w:szCs w:val="19"/>
              </w:rPr>
              <w:t xml:space="preserve">h</w:t>
            </w:r>
          </w:p>
        </w:tc>
        <w:tc>
          <w:tcPr>
            <w:tcW w:type="dxa" w:w="3360"/>
            <w:shd w:fill="F2F4F5" w:color="auto" w:val="clear"/>
            <w:tcMar>
              <w:top w:type="dxa" w:w="60"/>
              <w:left w:type="dxa" w:w="110"/>
              <w:bottom w:type="dxa" w:w="60"/>
              <w:right w:type="dxa" w:w="110"/>
            </w:tcMar>
          </w:tcPr>
          <w:p>
            <w:pPr>
              <w:spacing w:after="0" w:before="0"/>
              <w:jc w:val="left"/>
            </w:pPr>
            <w:r>
              <w:rPr>
                <w:b/>
                <w:bCs/>
                <w:sz w:val="19"/>
                <w:szCs w:val="19"/>
              </w:rPr>
              <w:t xml:space="preserve">Extrapolated</w:t>
            </w:r>
          </w:p>
        </w:tc>
      </w:tr>
      <w:tr>
        <w:trPr>
          <w:tblHeader w:val="false"/>
        </w:trPr>
        <w:tc>
          <w:tcPr>
            <w:tcW w:type="dxa" w:w="3360"/>
            <w:tcMar>
              <w:top w:type="dxa" w:w="60"/>
              <w:left w:type="dxa" w:w="110"/>
              <w:bottom w:type="dxa" w:w="60"/>
              <w:right w:type="dxa" w:w="110"/>
            </w:tcMar>
          </w:tcPr>
          <w:p>
            <w:pPr>
              <w:spacing w:after="0" w:before="0"/>
              <w:jc w:val="left"/>
            </w:pPr>
            <w:r>
              <w:rPr>
                <w:sz w:val="19"/>
                <w:szCs w:val="19"/>
              </w:rPr>
              <w:t xml:space="preserve">Normal</w:t>
            </w:r>
          </w:p>
        </w:tc>
        <w:tc>
          <w:tcPr>
            <w:tcW w:type="dxa" w:w="3360"/>
            <w:tcMar>
              <w:top w:type="dxa" w:w="60"/>
              <w:left w:type="dxa" w:w="110"/>
              <w:bottom w:type="dxa" w:w="60"/>
              <w:right w:type="dxa" w:w="110"/>
            </w:tcMar>
          </w:tcPr>
          <w:p>
            <w:pPr>
              <w:spacing w:after="0" w:before="0"/>
              <w:jc w:val="right"/>
            </w:pPr>
            <w:r>
              <w:rPr>
                <w:sz w:val="19"/>
                <w:szCs w:val="19"/>
              </w:rPr>
              <w:t xml:space="preserve">0.00 %</w:t>
            </w:r>
          </w:p>
        </w:tc>
        <w:tc>
          <w:tcPr>
            <w:tcW w:type="dxa" w:w="3360"/>
            <w:tcMar>
              <w:top w:type="dxa" w:w="60"/>
              <w:left w:type="dxa" w:w="110"/>
              <w:bottom w:type="dxa" w:w="60"/>
              <w:right w:type="dxa" w:w="110"/>
            </w:tcMar>
          </w:tcPr>
          <w:p>
            <w:pPr>
              <w:spacing w:after="0" w:before="0"/>
              <w:jc w:val="right"/>
            </w:pPr>
            <w:r>
              <w:rPr>
                <w:sz w:val="19"/>
                <w:szCs w:val="19"/>
              </w:rPr>
              <w:t xml:space="preserve">19.54 %</w:t>
            </w:r>
          </w:p>
        </w:tc>
      </w:tr>
      <w:tr>
        <w:trPr>
          <w:tblHeader w:val="false"/>
        </w:trPr>
        <w:tc>
          <w:tcPr>
            <w:tcW w:type="dxa" w:w="3360"/>
            <w:tcMar>
              <w:top w:type="dxa" w:w="60"/>
              <w:left w:type="dxa" w:w="110"/>
              <w:bottom w:type="dxa" w:w="60"/>
              <w:right w:type="dxa" w:w="110"/>
            </w:tcMar>
          </w:tcPr>
          <w:p>
            <w:pPr>
              <w:spacing w:after="0" w:before="0"/>
              <w:jc w:val="left"/>
            </w:pPr>
            <w:r>
              <w:rPr>
                <w:sz w:val="19"/>
                <w:szCs w:val="19"/>
              </w:rPr>
              <w:t xml:space="preserve">Linear</w:t>
            </w:r>
          </w:p>
        </w:tc>
        <w:tc>
          <w:tcPr>
            <w:tcW w:type="dxa" w:w="3360"/>
            <w:tcMar>
              <w:top w:type="dxa" w:w="60"/>
              <w:left w:type="dxa" w:w="110"/>
              <w:bottom w:type="dxa" w:w="60"/>
              <w:right w:type="dxa" w:w="110"/>
            </w:tcMar>
          </w:tcPr>
          <w:p>
            <w:pPr>
              <w:spacing w:after="0" w:before="0"/>
              <w:jc w:val="right"/>
            </w:pPr>
            <w:r>
              <w:rPr>
                <w:sz w:val="19"/>
                <w:szCs w:val="19"/>
              </w:rPr>
              <w:t xml:space="preserve">0.00 %</w:t>
            </w:r>
          </w:p>
        </w:tc>
        <w:tc>
          <w:tcPr>
            <w:tcW w:type="dxa" w:w="3360"/>
            <w:tcMar>
              <w:top w:type="dxa" w:w="60"/>
              <w:left w:type="dxa" w:w="110"/>
              <w:bottom w:type="dxa" w:w="60"/>
              <w:right w:type="dxa" w:w="110"/>
            </w:tcMar>
          </w:tcPr>
          <w:p>
            <w:pPr>
              <w:spacing w:after="0" w:before="0"/>
              <w:jc w:val="right"/>
            </w:pPr>
            <w:r>
              <w:rPr>
                <w:sz w:val="19"/>
                <w:szCs w:val="19"/>
              </w:rPr>
              <w:t xml:space="preserve">19.54 %</w:t>
            </w:r>
          </w:p>
        </w:tc>
      </w:tr>
      <w:tr>
        <w:trPr>
          <w:tblHeader w:val="false"/>
        </w:trPr>
        <w:tc>
          <w:tcPr>
            <w:tcW w:type="dxa" w:w="3360"/>
            <w:tcMar>
              <w:top w:type="dxa" w:w="60"/>
              <w:left w:type="dxa" w:w="110"/>
              <w:bottom w:type="dxa" w:w="60"/>
              <w:right w:type="dxa" w:w="110"/>
            </w:tcMar>
          </w:tcPr>
          <w:p>
            <w:pPr>
              <w:spacing w:after="0" w:before="0"/>
              <w:jc w:val="left"/>
            </w:pPr>
            <w:r>
              <w:rPr>
                <w:sz w:val="19"/>
                <w:szCs w:val="19"/>
              </w:rPr>
              <w:t xml:space="preserve">QUANT</w:t>
            </w:r>
          </w:p>
        </w:tc>
        <w:tc>
          <w:tcPr>
            <w:tcW w:type="dxa" w:w="3360"/>
            <w:tcMar>
              <w:top w:type="dxa" w:w="60"/>
              <w:left w:type="dxa" w:w="110"/>
              <w:bottom w:type="dxa" w:w="60"/>
              <w:right w:type="dxa" w:w="110"/>
            </w:tcMar>
          </w:tcPr>
          <w:p>
            <w:pPr>
              <w:spacing w:after="0" w:before="0"/>
              <w:jc w:val="right"/>
            </w:pPr>
            <w:r>
              <w:rPr>
                <w:sz w:val="19"/>
                <w:szCs w:val="19"/>
              </w:rPr>
              <w:t xml:space="preserve">0.00 %</w:t>
            </w:r>
          </w:p>
        </w:tc>
        <w:tc>
          <w:tcPr>
            <w:tcW w:type="dxa" w:w="3360"/>
            <w:tcMar>
              <w:top w:type="dxa" w:w="60"/>
              <w:left w:type="dxa" w:w="110"/>
              <w:bottom w:type="dxa" w:w="60"/>
              <w:right w:type="dxa" w:w="110"/>
            </w:tcMar>
          </w:tcPr>
          <w:p>
            <w:pPr>
              <w:spacing w:after="0" w:before="0"/>
              <w:jc w:val="right"/>
            </w:pPr>
            <w:r>
              <w:rPr>
                <w:sz w:val="19"/>
                <w:szCs w:val="19"/>
              </w:rPr>
              <w:t xml:space="preserve">19.54 %</w:t>
            </w:r>
          </w:p>
        </w:tc>
      </w:tr>
      <w:tr>
        <w:trPr>
          <w:tblHeader w:val="false"/>
        </w:trPr>
        <w:tc>
          <w:tcPr>
            <w:tcW w:type="dxa" w:w="3360"/>
            <w:tcMar>
              <w:top w:type="dxa" w:w="60"/>
              <w:left w:type="dxa" w:w="110"/>
              <w:bottom w:type="dxa" w:w="60"/>
              <w:right w:type="dxa" w:w="110"/>
            </w:tcMar>
          </w:tcPr>
          <w:p>
            <w:pPr>
              <w:spacing w:after="0" w:before="0"/>
              <w:jc w:val="left"/>
            </w:pPr>
            <w:r>
              <w:rPr>
                <w:sz w:val="19"/>
                <w:szCs w:val="19"/>
              </w:rPr>
              <w:t xml:space="preserve">RQUANT</w:t>
            </w:r>
          </w:p>
        </w:tc>
        <w:tc>
          <w:tcPr>
            <w:tcW w:type="dxa" w:w="3360"/>
            <w:tcMar>
              <w:top w:type="dxa" w:w="60"/>
              <w:left w:type="dxa" w:w="110"/>
              <w:bottom w:type="dxa" w:w="60"/>
              <w:right w:type="dxa" w:w="110"/>
            </w:tcMar>
          </w:tcPr>
          <w:p>
            <w:pPr>
              <w:spacing w:after="0" w:before="0"/>
              <w:jc w:val="right"/>
            </w:pPr>
            <w:r>
              <w:rPr>
                <w:sz w:val="19"/>
                <w:szCs w:val="19"/>
              </w:rPr>
              <w:t xml:space="preserve">0.00 %</w:t>
            </w:r>
          </w:p>
        </w:tc>
        <w:tc>
          <w:tcPr>
            <w:tcW w:type="dxa" w:w="3360"/>
            <w:tcMar>
              <w:top w:type="dxa" w:w="60"/>
              <w:left w:type="dxa" w:w="110"/>
              <w:bottom w:type="dxa" w:w="60"/>
              <w:right w:type="dxa" w:w="110"/>
            </w:tcMar>
          </w:tcPr>
          <w:p>
            <w:pPr>
              <w:spacing w:after="0" w:before="0"/>
              <w:jc w:val="right"/>
            </w:pPr>
            <w:r>
              <w:rPr>
                <w:sz w:val="19"/>
                <w:szCs w:val="19"/>
              </w:rPr>
              <w:t xml:space="preserve">19.54 %</w:t>
            </w:r>
          </w:p>
        </w:tc>
      </w:tr>
      <w:tr>
        <w:trPr>
          <w:tblHeader w:val="false"/>
        </w:trPr>
        <w:tc>
          <w:tcPr>
            <w:tcW w:type="dxa" w:w="3360"/>
            <w:tcMar>
              <w:top w:type="dxa" w:w="60"/>
              <w:left w:type="dxa" w:w="110"/>
              <w:bottom w:type="dxa" w:w="60"/>
              <w:right w:type="dxa" w:w="110"/>
            </w:tcMar>
          </w:tcPr>
          <w:p>
            <w:pPr>
              <w:spacing w:after="0" w:before="0"/>
              <w:jc w:val="left"/>
            </w:pPr>
            <w:r>
              <w:rPr>
                <w:sz w:val="19"/>
                <w:szCs w:val="19"/>
              </w:rPr>
              <w:t xml:space="preserve">SSPLIN</w:t>
            </w:r>
          </w:p>
        </w:tc>
        <w:tc>
          <w:tcPr>
            <w:tcW w:type="dxa" w:w="3360"/>
            <w:tcMar>
              <w:top w:type="dxa" w:w="60"/>
              <w:left w:type="dxa" w:w="110"/>
              <w:bottom w:type="dxa" w:w="60"/>
              <w:right w:type="dxa" w:w="110"/>
            </w:tcMar>
          </w:tcPr>
          <w:p>
            <w:pPr>
              <w:spacing w:after="0" w:before="0"/>
              <w:jc w:val="right"/>
            </w:pPr>
            <w:r>
              <w:rPr>
                <w:sz w:val="19"/>
                <w:szCs w:val="19"/>
              </w:rPr>
              <w:t xml:space="preserve">4.16 %</w:t>
            </w:r>
          </w:p>
        </w:tc>
        <w:tc>
          <w:tcPr>
            <w:tcW w:type="dxa" w:w="3360"/>
            <w:tcMar>
              <w:top w:type="dxa" w:w="60"/>
              <w:left w:type="dxa" w:w="110"/>
              <w:bottom w:type="dxa" w:w="60"/>
              <w:right w:type="dxa" w:w="110"/>
            </w:tcMar>
          </w:tcPr>
          <w:p>
            <w:pPr>
              <w:spacing w:after="0" w:before="0"/>
              <w:jc w:val="right"/>
            </w:pPr>
            <w:r>
              <w:rPr>
                <w:sz w:val="19"/>
                <w:szCs w:val="19"/>
              </w:rPr>
              <w:t xml:space="preserve">19.54 %</w:t>
            </w:r>
          </w:p>
        </w:tc>
      </w:tr>
      <w:tr>
        <w:trPr>
          <w:tblHeader w:val="false"/>
        </w:trPr>
        <w:tc>
          <w:tcPr>
            <w:tcW w:type="dxa" w:w="3360"/>
            <w:tcMar>
              <w:top w:type="dxa" w:w="60"/>
              <w:left w:type="dxa" w:w="110"/>
              <w:bottom w:type="dxa" w:w="60"/>
              <w:right w:type="dxa" w:w="110"/>
            </w:tcMar>
          </w:tcPr>
          <w:p>
            <w:pPr>
              <w:spacing w:after="0" w:before="0"/>
              <w:jc w:val="left"/>
            </w:pPr>
            <w:r>
              <w:rPr>
                <w:sz w:val="19"/>
                <w:szCs w:val="19"/>
              </w:rPr>
              <w:t xml:space="preserve">Polynomial</w:t>
            </w:r>
          </w:p>
        </w:tc>
        <w:tc>
          <w:tcPr>
            <w:tcW w:type="dxa" w:w="3360"/>
            <w:tcMar>
              <w:top w:type="dxa" w:w="60"/>
              <w:left w:type="dxa" w:w="110"/>
              <w:bottom w:type="dxa" w:w="60"/>
              <w:right w:type="dxa" w:w="110"/>
            </w:tcMar>
          </w:tcPr>
          <w:p>
            <w:pPr>
              <w:spacing w:after="0" w:before="0"/>
              <w:jc w:val="right"/>
            </w:pPr>
            <w:r>
              <w:rPr>
                <w:sz w:val="19"/>
                <w:szCs w:val="19"/>
              </w:rPr>
              <w:t xml:space="preserve">7.38 %</w:t>
            </w:r>
          </w:p>
        </w:tc>
        <w:tc>
          <w:tcPr>
            <w:tcW w:type="dxa" w:w="3360"/>
            <w:tcMar>
              <w:top w:type="dxa" w:w="60"/>
              <w:left w:type="dxa" w:w="110"/>
              <w:bottom w:type="dxa" w:w="60"/>
              <w:right w:type="dxa" w:w="110"/>
            </w:tcMar>
          </w:tcPr>
          <w:p>
            <w:pPr>
              <w:spacing w:after="0" w:before="0"/>
              <w:jc w:val="right"/>
            </w:pPr>
            <w:r>
              <w:rPr>
                <w:sz w:val="19"/>
                <w:szCs w:val="19"/>
              </w:rPr>
              <w:t xml:space="preserve">19.54 %</w:t>
            </w:r>
          </w:p>
        </w:tc>
      </w:tr>
    </w:tbl>
    <w:p>
      <w:pPr>
        <w:spacing w:after="100"/>
      </w:pPr>
    </w:p>
    <w:p>
      <w:pPr>
        <w:spacing w:after="200" w:before="60"/>
      </w:pPr>
      <w:r>
        <w:rPr>
          <w:b/>
          <w:bCs/>
          <w:color w:val="5A6A73"/>
          <w:sz w:val="18"/>
          <w:szCs w:val="18"/>
        </w:rPr>
        <w:t xml:space="preserve">Table 8.</w:t>
      </w:r>
      <w:r>
        <w:rPr>
          <w:color w:val="5A6A73"/>
          <w:sz w:val="18"/>
          <w:szCs w:val="18"/>
        </w:rPr>
        <w:t xml:space="preserve"> Diagnostics over all 299,637 fits per method. "Non-monotone" is the share of fits whose transform decreased somewhere in its fitted range, requiring the corrected percentiles to be forced back into order. "Extrapolated" is the share where at least one held-out percentile fell outside the training range; it is identical across methods because the same modelled percentiles are evaluated. Normal, Linear and Polynomial were fitted on 720–828 training days and the three non-parametric methods on 99 nodes, per the split described in Methods.</w:t>
      </w:r>
    </w:p>
    <w:p>
      <w:pPr>
        <w:spacing w:after="120" w:before="60"/>
        <w:jc w:val="left"/>
      </w:pPr>
      <w:r>
        <w:rPr>
          <w:sz w:val="21"/>
          <w:szCs w:val="21"/>
        </w:rPr>
        <w:t xml:space="preserve">Normal, Linear, QUANT and RQUANT are increasing by construction. The polynomial requires the monotonicity repair in 7.38 % of fits and SSPLIN in 4.16 %.</w:t>
      </w:r>
    </w:p>
    <w:p>
      <w:pPr>
        <w:spacing w:after="120" w:before="60"/>
        <w:jc w:val="left"/>
      </w:pPr>
      <w:r>
        <w:rPr>
          <w:sz w:val="21"/>
          <w:szCs w:val="21"/>
        </w:rPr>
        <w:t xml:space="preserve">Normal, Linear and Polynomial were fitted on 720 to 828 training days and the three non-parametric methods on 99 nodes, following the split described in Methods.</w:t>
      </w:r>
    </w:p>
    <w:p>
      <w:pPr>
        <w:spacing w:after="120" w:before="60"/>
        <w:jc w:val="left"/>
      </w:pPr>
      <w:r>
        <w:rPr>
          <w:sz w:val="21"/>
          <w:szCs w:val="21"/>
        </w:rPr>
        <w:t xml:space="preserve">In 19.54 % of fits at least one held-out percentile falls outside the training range, so the constant-offset extrapolation rule is applied rather than the fitted transform. The figure is identical across methods because the same modelled percentiles are evaluated in every case.</w:t>
      </w:r>
    </w:p>
    <w:p>
      <w:pPr>
        <w:pStyle w:val="Heading2"/>
        <w:spacing w:after="120" w:before="260"/>
        <w:outlineLvl w:val="2"/>
      </w:pPr>
      <w:r>
        <w:t xml:space="preserve">Distribution shape</w:t>
      </w:r>
    </w:p>
    <w:p>
      <w:pPr>
        <w:spacing w:after="80" w:before="160"/>
        <w:jc w:val="center"/>
      </w:pPr>
      <w:r>
        <w:drawing>
          <wp:inline distT="0" distB="0" distL="0" distR="0">
            <wp:extent cx="4067175"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67175" cy="4000500"/>
                    </a:xfrm>
                    <a:prstGeom prst="rect">
                      <a:avLst/>
                    </a:prstGeom>
                  </pic:spPr>
                </pic:pic>
              </a:graphicData>
            </a:graphic>
          </wp:inline>
        </w:drawing>
      </w:r>
    </w:p>
    <w:p>
      <w:pPr>
        <w:spacing w:after="200" w:before="60"/>
      </w:pPr>
      <w:r>
        <w:rPr>
          <w:b/>
          <w:bCs/>
          <w:color w:val="5A6A73"/>
          <w:sz w:val="18"/>
          <w:szCs w:val="18"/>
        </w:rPr>
        <w:t xml:space="preserve">Fig. 6.</w:t>
      </w:r>
      <w:r>
        <w:rPr>
          <w:color w:val="5A6A73"/>
          <w:sz w:val="18"/>
          <w:szCs w:val="18"/>
        </w:rPr>
        <w:t xml:space="preserve"> </w:t>
      </w:r>
      <w:r>
        <w:rPr>
          <w:i/>
          <w:iCs/>
          <w:color w:val="5A6A73"/>
          <w:sz w:val="18"/>
          <w:szCs w:val="18"/>
        </w:rPr>
        <w:t xml:space="preserve">Skewness and excess kurtosis of the observed daily temperature, by season.</w:t>
      </w:r>
      <w:r>
        <w:rPr>
          <w:color w:val="5A6A73"/>
          <w:sz w:val="18"/>
          <w:szCs w:val="18"/>
        </w:rPr>
        <w:t xml:space="preserve"> Both are zero for a normal distribution; the colour scale is centred on zero. Data: ERA5-Land daily 2 m temperature, land pixels of the EMME domain, 1990–1999.</w:t>
      </w:r>
    </w:p>
    <w:tbl>
      <w:tblPr>
        <w:tblW w:type="dxa" w:w="10080"/>
        <w:tblBorders>
          <w:top w:val="single" w:color="D5DBDE" w:sz="2"/>
          <w:left w:val="single" w:color="D5DBDE" w:sz="2"/>
          <w:bottom w:val="single" w:color="D5DBDE" w:sz="2"/>
          <w:right w:val="single" w:color="D5DBDE" w:sz="2"/>
          <w:insideH w:val="single" w:color="D5DBDE" w:sz="2"/>
          <w:insideV w:val="single" w:color="D5DBDE" w:sz="2"/>
        </w:tblBorders>
      </w:tblPr>
      <w:tblGrid>
        <w:gridCol w:w="3360"/>
        <w:gridCol w:w="3360"/>
        <w:gridCol w:w="3360"/>
      </w:tblGrid>
      <w:tr>
        <w:trPr>
          <w:tblHeader/>
        </w:trPr>
        <w:tc>
          <w:tcPr>
            <w:tcW w:type="dxa" w:w="3360"/>
            <w:shd w:fill="F2F4F5" w:color="auto" w:val="clear"/>
            <w:tcMar>
              <w:top w:type="dxa" w:w="60"/>
              <w:left w:type="dxa" w:w="110"/>
              <w:bottom w:type="dxa" w:w="60"/>
              <w:right w:type="dxa" w:w="110"/>
            </w:tcMar>
          </w:tcPr>
          <w:p>
            <w:pPr>
              <w:spacing w:after="0" w:before="0"/>
              <w:jc w:val="left"/>
            </w:pPr>
            <w:r>
              <w:rPr>
                <w:b/>
                <w:bCs/>
                <w:sz w:val="19"/>
                <w:szCs w:val="19"/>
              </w:rPr>
              <w:t xml:space="preserve">Season</w:t>
            </w:r>
          </w:p>
        </w:tc>
        <w:tc>
          <w:tcPr>
            <w:tcW w:type="dxa" w:w="3360"/>
            <w:shd w:fill="F2F4F5" w:color="auto" w:val="clear"/>
            <w:tcMar>
              <w:top w:type="dxa" w:w="60"/>
              <w:left w:type="dxa" w:w="110"/>
              <w:bottom w:type="dxa" w:w="60"/>
              <w:right w:type="dxa" w:w="110"/>
            </w:tcMar>
          </w:tcPr>
          <w:p>
            <w:pPr>
              <w:spacing w:after="0" w:before="0"/>
              <w:jc w:val="left"/>
            </w:pPr>
            <w:r>
              <w:rPr>
                <w:b/>
                <w:bCs/>
                <w:sz w:val="19"/>
                <w:szCs w:val="19"/>
              </w:rPr>
              <w:t xml:space="preserve">Skewness</w:t>
            </w:r>
          </w:p>
        </w:tc>
        <w:tc>
          <w:tcPr>
            <w:tcW w:type="dxa" w:w="3360"/>
            <w:shd w:fill="F2F4F5" w:color="auto" w:val="clear"/>
            <w:tcMar>
              <w:top w:type="dxa" w:w="60"/>
              <w:left w:type="dxa" w:w="110"/>
              <w:bottom w:type="dxa" w:w="60"/>
              <w:right w:type="dxa" w:w="110"/>
            </w:tcMar>
          </w:tcPr>
          <w:p>
            <w:pPr>
              <w:spacing w:after="0" w:before="0"/>
              <w:jc w:val="left"/>
            </w:pPr>
            <w:r>
              <w:rPr>
                <w:b/>
                <w:bCs/>
                <w:sz w:val="19"/>
                <w:szCs w:val="19"/>
              </w:rPr>
              <w:t xml:space="preserve">Excess kurtosis</w:t>
            </w:r>
          </w:p>
        </w:tc>
      </w:tr>
      <w:tr>
        <w:trPr>
          <w:tblHeader w:val="false"/>
        </w:trPr>
        <w:tc>
          <w:tcPr>
            <w:tcW w:type="dxa" w:w="3360"/>
            <w:tcMar>
              <w:top w:type="dxa" w:w="60"/>
              <w:left w:type="dxa" w:w="110"/>
              <w:bottom w:type="dxa" w:w="60"/>
              <w:right w:type="dxa" w:w="110"/>
            </w:tcMar>
          </w:tcPr>
          <w:p>
            <w:pPr>
              <w:spacing w:after="0" w:before="0"/>
              <w:jc w:val="left"/>
            </w:pPr>
            <w:r>
              <w:rPr>
                <w:sz w:val="19"/>
                <w:szCs w:val="19"/>
              </w:rPr>
              <w:t xml:space="preserve">DJF</w:t>
            </w:r>
          </w:p>
        </w:tc>
        <w:tc>
          <w:tcPr>
            <w:tcW w:type="dxa" w:w="3360"/>
            <w:tcMar>
              <w:top w:type="dxa" w:w="60"/>
              <w:left w:type="dxa" w:w="110"/>
              <w:bottom w:type="dxa" w:w="60"/>
              <w:right w:type="dxa" w:w="110"/>
            </w:tcMar>
          </w:tcPr>
          <w:p>
            <w:pPr>
              <w:spacing w:after="0" w:before="0"/>
              <w:jc w:val="right"/>
            </w:pPr>
            <w:r>
              <w:rPr>
                <w:sz w:val="19"/>
                <w:szCs w:val="19"/>
              </w:rPr>
              <w:t xml:space="preserve">+0.105</w:t>
            </w:r>
          </w:p>
        </w:tc>
        <w:tc>
          <w:tcPr>
            <w:tcW w:type="dxa" w:w="3360"/>
            <w:tcMar>
              <w:top w:type="dxa" w:w="60"/>
              <w:left w:type="dxa" w:w="110"/>
              <w:bottom w:type="dxa" w:w="60"/>
              <w:right w:type="dxa" w:w="110"/>
            </w:tcMar>
          </w:tcPr>
          <w:p>
            <w:pPr>
              <w:spacing w:after="0" w:before="0"/>
              <w:jc w:val="right"/>
            </w:pPr>
            <w:r>
              <w:rPr>
                <w:sz w:val="19"/>
                <w:szCs w:val="19"/>
              </w:rPr>
              <w:t xml:space="preserve">+0.420</w:t>
            </w:r>
          </w:p>
        </w:tc>
      </w:tr>
      <w:tr>
        <w:trPr>
          <w:tblHeader w:val="false"/>
        </w:trPr>
        <w:tc>
          <w:tcPr>
            <w:tcW w:type="dxa" w:w="3360"/>
            <w:tcMar>
              <w:top w:type="dxa" w:w="60"/>
              <w:left w:type="dxa" w:w="110"/>
              <w:bottom w:type="dxa" w:w="60"/>
              <w:right w:type="dxa" w:w="110"/>
            </w:tcMar>
          </w:tcPr>
          <w:p>
            <w:pPr>
              <w:spacing w:after="0" w:before="0"/>
              <w:jc w:val="left"/>
            </w:pPr>
            <w:r>
              <w:rPr>
                <w:sz w:val="19"/>
                <w:szCs w:val="19"/>
              </w:rPr>
              <w:t xml:space="preserve">MAM</w:t>
            </w:r>
          </w:p>
        </w:tc>
        <w:tc>
          <w:tcPr>
            <w:tcW w:type="dxa" w:w="3360"/>
            <w:tcMar>
              <w:top w:type="dxa" w:w="60"/>
              <w:left w:type="dxa" w:w="110"/>
              <w:bottom w:type="dxa" w:w="60"/>
              <w:right w:type="dxa" w:w="110"/>
            </w:tcMar>
          </w:tcPr>
          <w:p>
            <w:pPr>
              <w:spacing w:after="0" w:before="0"/>
              <w:jc w:val="right"/>
            </w:pPr>
            <w:r>
              <w:rPr>
                <w:sz w:val="19"/>
                <w:szCs w:val="19"/>
              </w:rPr>
              <w:t xml:space="preserve">+0.095</w:t>
            </w:r>
          </w:p>
        </w:tc>
        <w:tc>
          <w:tcPr>
            <w:tcW w:type="dxa" w:w="3360"/>
            <w:tcMar>
              <w:top w:type="dxa" w:w="60"/>
              <w:left w:type="dxa" w:w="110"/>
              <w:bottom w:type="dxa" w:w="60"/>
              <w:right w:type="dxa" w:w="110"/>
            </w:tcMar>
          </w:tcPr>
          <w:p>
            <w:pPr>
              <w:spacing w:after="0" w:before="0"/>
              <w:jc w:val="right"/>
            </w:pPr>
            <w:r>
              <w:rPr>
                <w:sz w:val="19"/>
                <w:szCs w:val="19"/>
              </w:rPr>
              <w:t xml:space="preserve">−0.825</w:t>
            </w:r>
          </w:p>
        </w:tc>
      </w:tr>
      <w:tr>
        <w:trPr>
          <w:tblHeader w:val="false"/>
        </w:trPr>
        <w:tc>
          <w:tcPr>
            <w:tcW w:type="dxa" w:w="3360"/>
            <w:tcMar>
              <w:top w:type="dxa" w:w="60"/>
              <w:left w:type="dxa" w:w="110"/>
              <w:bottom w:type="dxa" w:w="60"/>
              <w:right w:type="dxa" w:w="110"/>
            </w:tcMar>
          </w:tcPr>
          <w:p>
            <w:pPr>
              <w:spacing w:after="0" w:before="0"/>
              <w:jc w:val="left"/>
            </w:pPr>
            <w:r>
              <w:rPr>
                <w:sz w:val="19"/>
                <w:szCs w:val="19"/>
              </w:rPr>
              <w:t xml:space="preserve">JJA</w:t>
            </w:r>
          </w:p>
        </w:tc>
        <w:tc>
          <w:tcPr>
            <w:tcW w:type="dxa" w:w="3360"/>
            <w:tcMar>
              <w:top w:type="dxa" w:w="60"/>
              <w:left w:type="dxa" w:w="110"/>
              <w:bottom w:type="dxa" w:w="60"/>
              <w:right w:type="dxa" w:w="110"/>
            </w:tcMar>
          </w:tcPr>
          <w:p>
            <w:pPr>
              <w:spacing w:after="0" w:before="0"/>
              <w:jc w:val="right"/>
            </w:pPr>
            <w:r>
              <w:rPr>
                <w:sz w:val="19"/>
                <w:szCs w:val="19"/>
              </w:rPr>
              <w:t xml:space="preserve">−0.118</w:t>
            </w:r>
          </w:p>
        </w:tc>
        <w:tc>
          <w:tcPr>
            <w:tcW w:type="dxa" w:w="3360"/>
            <w:tcMar>
              <w:top w:type="dxa" w:w="60"/>
              <w:left w:type="dxa" w:w="110"/>
              <w:bottom w:type="dxa" w:w="60"/>
              <w:right w:type="dxa" w:w="110"/>
            </w:tcMar>
          </w:tcPr>
          <w:p>
            <w:pPr>
              <w:spacing w:after="0" w:before="0"/>
              <w:jc w:val="right"/>
            </w:pPr>
            <w:r>
              <w:rPr>
                <w:sz w:val="19"/>
                <w:szCs w:val="19"/>
              </w:rPr>
              <w:t xml:space="preserve">+0.278</w:t>
            </w:r>
          </w:p>
        </w:tc>
      </w:tr>
      <w:tr>
        <w:trPr>
          <w:tblHeader w:val="false"/>
        </w:trPr>
        <w:tc>
          <w:tcPr>
            <w:tcW w:type="dxa" w:w="3360"/>
            <w:tcMar>
              <w:top w:type="dxa" w:w="60"/>
              <w:left w:type="dxa" w:w="110"/>
              <w:bottom w:type="dxa" w:w="60"/>
              <w:right w:type="dxa" w:w="110"/>
            </w:tcMar>
          </w:tcPr>
          <w:p>
            <w:pPr>
              <w:spacing w:after="0" w:before="0"/>
              <w:jc w:val="left"/>
            </w:pPr>
            <w:r>
              <w:rPr>
                <w:sz w:val="19"/>
                <w:szCs w:val="19"/>
              </w:rPr>
              <w:t xml:space="preserve">SON</w:t>
            </w:r>
          </w:p>
        </w:tc>
        <w:tc>
          <w:tcPr>
            <w:tcW w:type="dxa" w:w="3360"/>
            <w:tcMar>
              <w:top w:type="dxa" w:w="60"/>
              <w:left w:type="dxa" w:w="110"/>
              <w:bottom w:type="dxa" w:w="60"/>
              <w:right w:type="dxa" w:w="110"/>
            </w:tcMar>
          </w:tcPr>
          <w:p>
            <w:pPr>
              <w:spacing w:after="0" w:before="0"/>
              <w:jc w:val="right"/>
            </w:pPr>
            <w:r>
              <w:rPr>
                <w:sz w:val="19"/>
                <w:szCs w:val="19"/>
              </w:rPr>
              <w:t xml:space="preserve">−0.423</w:t>
            </w:r>
          </w:p>
        </w:tc>
        <w:tc>
          <w:tcPr>
            <w:tcW w:type="dxa" w:w="3360"/>
            <w:tcMar>
              <w:top w:type="dxa" w:w="60"/>
              <w:left w:type="dxa" w:w="110"/>
              <w:bottom w:type="dxa" w:w="60"/>
              <w:right w:type="dxa" w:w="110"/>
            </w:tcMar>
          </w:tcPr>
          <w:p>
            <w:pPr>
              <w:spacing w:after="0" w:before="0"/>
              <w:jc w:val="right"/>
            </w:pPr>
            <w:r>
              <w:rPr>
                <w:sz w:val="19"/>
                <w:szCs w:val="19"/>
              </w:rPr>
              <w:t xml:space="preserve">−0.438</w:t>
            </w:r>
          </w:p>
        </w:tc>
      </w:tr>
    </w:tbl>
    <w:p>
      <w:pPr>
        <w:spacing w:after="100"/>
      </w:pPr>
    </w:p>
    <w:p>
      <w:pPr>
        <w:spacing w:after="200" w:before="60"/>
      </w:pPr>
      <w:r>
        <w:rPr>
          <w:b/>
          <w:bCs/>
          <w:color w:val="5A6A73"/>
          <w:sz w:val="18"/>
          <w:szCs w:val="18"/>
        </w:rPr>
        <w:t xml:space="preserve">Table 9.</w:t>
      </w:r>
      <w:r>
        <w:rPr>
          <w:color w:val="5A6A73"/>
          <w:sz w:val="18"/>
          <w:szCs w:val="18"/>
        </w:rPr>
        <w:t xml:space="preserve"> Domain-mean skewness and excess kurtosis of the observed daily values, by season.</w:t>
      </w:r>
    </w:p>
    <w:p>
      <w:pPr>
        <w:spacing w:after="120" w:before="60"/>
        <w:jc w:val="left"/>
      </w:pPr>
      <w:r>
        <w:rPr>
          <w:sz w:val="21"/>
          <w:szCs w:val="21"/>
        </w:rPr>
        <w:t xml:space="preserve">Departures from normality are small in DJF, MAM and JJA, with absolute skewness below 0.12. SON is the exception at −0.423, a left-skewed distribution with a longer cold tail. This is the same season and the same tail where the corrections perform worst (Table 5).</w:t>
      </w:r>
    </w:p>
    <w:p>
      <w:pPr>
        <w:spacing w:after="120" w:before="60"/>
        <w:jc w:val="left"/>
      </w:pPr>
      <w:r>
        <w:rPr>
          <w:sz w:val="21"/>
          <w:szCs w:val="21"/>
        </w:rPr>
        <w:t xml:space="preserve">These magnitudes are consistent with Perron and Sura (2013), who report non-Gaussian daily statistics globally with seasonally varying departures, and with Ruff and Neelin (2012), who find non-Gaussian tails common in station temperature records.</w:t>
      </w:r>
    </w:p>
    <w:p>
      <w:pPr>
        <w:pBdr>
          <w:bottom w:val="single" w:color="D5DBDE" w:sz="6"/>
        </w:pBdr>
        <w:spacing w:after="120" w:before="120"/>
      </w:pPr>
    </w:p>
    <w:p>
      <w:pPr>
        <w:pStyle w:val="Heading1"/>
        <w:spacing w:after="120" w:before="260"/>
        <w:outlineLvl w:val="1"/>
      </w:pPr>
      <w:r>
        <w:t xml:space="preserve">Discussion</w:t>
      </w:r>
    </w:p>
    <w:p>
      <w:pPr>
        <w:spacing w:after="120" w:before="60"/>
        <w:jc w:val="left"/>
      </w:pPr>
      <w:r>
        <w:rPr>
          <w:sz w:val="21"/>
          <w:szCs w:val="21"/>
        </w:rPr>
        <w:t xml:space="preserve">Applying a correction reduces MAE by 36 % and removes 61 % of the removable error, while the choice among the six transforms changes MAE by at most 0.019 °C. The best method varies by percentile with margins of 0.001 to 0.018 °C, within the noise of the comparison.</w:t>
      </w:r>
    </w:p>
    <w:p>
      <w:pPr>
        <w:spacing w:after="120" w:before="60"/>
        <w:jc w:val="left"/>
      </w:pPr>
      <w:r>
        <w:rPr>
          <w:sz w:val="21"/>
          <w:szCs w:val="21"/>
        </w:rPr>
        <w:t xml:space="preserve">The two-parameter linear fit is therefore sufficient for this baseline. It matches a degree-5 polynomial, a smoothing spline and a 99-node empirical lookup, is increasing by construction, has no hyper-parameter, and is the cheapest to fit.</w:t>
      </w:r>
    </w:p>
    <w:p>
      <w:pPr>
        <w:spacing w:after="120" w:before="60"/>
        <w:jc w:val="left"/>
      </w:pPr>
      <w:r>
        <w:rPr>
          <w:sz w:val="21"/>
          <w:szCs w:val="21"/>
        </w:rPr>
        <w:t xml:space="preserve">Two factors limit how much the transforms can differ. First, 65 % of the residual error is irreducible: the climatology floor is 0.890 °C against the best method's 1.371 °C, because the model simulates a plausible year rather than the observed one. The methods compete over 0.481 °C, not 1.371 °C. The seasonal contrast makes the same point — JJA's 0.745 °C looks far better than SON's 1.661 °C, but relative to their floors they are 1.41 and 1.70 times, so summer is more repeatable rather than easier to correct.</w:t>
      </w:r>
    </w:p>
    <w:p>
      <w:pPr>
        <w:spacing w:after="120" w:before="60"/>
        <w:jc w:val="left"/>
      </w:pPr>
      <w:r>
        <w:rPr>
          <w:sz w:val="21"/>
          <w:szCs w:val="21"/>
        </w:rPr>
        <w:t xml:space="preserve">Second, the calibration sample is short. Where the hyper-parameter selection carries a real signal it points towards smoothing: all four tunable methods pick the smoothest end of their grid in SON, monotonically (Table 8), and the two empirical lookups finish behind the linear fit rather than ahead of it. Gudmundsson et al. (2012), whose non-parametric methods ranked first on 41 years of station precipitation, state that overfitting "may be an issue if the nonparametric transformations are calibrated using small data samples". Lehner et al. (2023) report that "non-parametric QM depends more on the calibration period than parametric QM". Reiter et al. (2018) found the more complex methods correcting independent-data extremes to unrealistic values once the calibration subsample became small. With ten years the flexible methods have little signal left to fit.</w:t>
      </w:r>
    </w:p>
    <w:p>
      <w:pPr>
        <w:spacing w:after="120" w:before="60"/>
        <w:jc w:val="left"/>
      </w:pPr>
      <w:r>
        <w:rPr>
          <w:sz w:val="21"/>
          <w:szCs w:val="21"/>
        </w:rPr>
        <w:t xml:space="preserve">The out-of-sample design is necessary for this conclusion. Quantile mapping reproduces its training percentiles exactly, so any within-fold score would rank the most flexible method first. The polynomial's 7.38 % non-monotone rate alongside an MAE within 0.001 °C of a straight line is consistent with that.</w:t>
      </w:r>
    </w:p>
    <w:p>
      <w:pPr>
        <w:spacing w:after="120" w:before="60"/>
        <w:jc w:val="left"/>
      </w:pPr>
      <w:r>
        <w:rPr>
          <w:sz w:val="21"/>
          <w:szCs w:val="21"/>
        </w:rPr>
        <w:t xml:space="preserve">The autumn cold tail is where the correction adds least. At SON P5 the floor is 1.740 °C, the best method removes 31 % of the removable error, and QUANT performs worse than no correction. This is also the season with the largest departure from normality, skewness −0.423, and the only cell where the methods separate materially.</w:t>
      </w:r>
    </w:p>
    <w:p>
      <w:pPr>
        <w:pStyle w:val="Heading2"/>
        <w:spacing w:after="120" w:before="260"/>
        <w:outlineLvl w:val="2"/>
      </w:pPr>
      <w:r>
        <w:t xml:space="preserve">A climatology benchmark beats every method</w:t>
      </w:r>
    </w:p>
    <w:p>
      <w:pPr>
        <w:spacing w:after="120" w:before="60"/>
        <w:jc w:val="left"/>
      </w:pPr>
      <w:r>
        <w:rPr>
          <w:sz w:val="21"/>
          <w:szCs w:val="21"/>
        </w:rPr>
        <w:t xml:space="preserve">Predicting the observed percentile of a specific held-out year without using the model at all — the mean of the other nine years' observed percentile at that pixel — gives an MAE of </w:t>
      </w:r>
      <w:r>
        <w:rPr>
          <w:b/>
          <w:bCs/>
          <w:sz w:val="21"/>
          <w:szCs w:val="21"/>
        </w:rPr>
        <w:t xml:space="preserve">1.032 °C</w:t>
      </w:r>
      <w:r>
        <w:rPr>
          <w:sz w:val="21"/>
          <w:szCs w:val="21"/>
        </w:rPr>
        <w:t xml:space="preserve">, against 1.371 °C for the best transform. Climatology wins in every season and at every percentile: 0.803 °C against about 1.55 at SON P50, 0.532 against about 0.66 at JJA P25.</w:t>
      </w:r>
    </w:p>
    <w:p>
      <w:pPr>
        <w:spacing w:after="120" w:before="60"/>
        <w:jc w:val="left"/>
      </w:pPr>
      <w:r>
        <w:rPr>
          <w:sz w:val="21"/>
          <w:szCs w:val="21"/>
        </w:rPr>
        <w:t xml:space="preserve">The reason is visible in the year-to-year correlation between the modelled and the observed seasonal percentile. Averaged over land pixels it is 0.12 at P5, 0.05 at P25, 0.10 at P50, 0.14 at P75 and 0.08 at P90. The model carries almost no information about which particular year was warm or cold, which is expected of a free-running simulation: it is not initialised from observations and assimilates none, so its internal variability is its own.</w:t>
      </w:r>
    </w:p>
    <w:tbl>
      <w:tblPr>
        <w:tblW w:type="dxa" w:w="10080"/>
        <w:tblBorders>
          <w:top w:val="single" w:color="D5DBDE" w:sz="2"/>
          <w:left w:val="single" w:color="D5DBDE" w:sz="2"/>
          <w:bottom w:val="single" w:color="D5DBDE" w:sz="2"/>
          <w:right w:val="single" w:color="D5DBDE" w:sz="2"/>
          <w:insideH w:val="single" w:color="D5DBDE" w:sz="2"/>
          <w:insideV w:val="single" w:color="D5DBDE" w:sz="2"/>
        </w:tblBorders>
      </w:tblPr>
      <w:tblGrid>
        <w:gridCol w:w="1680"/>
        <w:gridCol w:w="1680"/>
        <w:gridCol w:w="1680"/>
        <w:gridCol w:w="1680"/>
        <w:gridCol w:w="1680"/>
        <w:gridCol w:w="1680"/>
      </w:tblGrid>
      <w:tr>
        <w:trPr>
          <w:tblHeader/>
        </w:trPr>
        <w:tc>
          <w:tcPr>
            <w:tcW w:type="dxa" w:w="1680"/>
            <w:shd w:fill="F2F4F5" w:color="auto" w:val="clear"/>
            <w:tcMar>
              <w:top w:type="dxa" w:w="60"/>
              <w:left w:type="dxa" w:w="110"/>
              <w:bottom w:type="dxa" w:w="60"/>
              <w:right w:type="dxa" w:w="110"/>
            </w:tcMar>
          </w:tcPr>
          <w:p>
            <w:pPr>
              <w:spacing w:after="0" w:before="0"/>
              <w:jc w:val="left"/>
            </w:pPr>
            <w:r>
              <w:rPr>
                <w:b/>
                <w:bCs/>
                <w:sz w:val="19"/>
                <w:szCs w:val="19"/>
              </w:rPr>
              <w:t xml:space="preserve">Season</w:t>
            </w:r>
          </w:p>
        </w:tc>
        <w:tc>
          <w:tcPr>
            <w:tcW w:type="dxa" w:w="1680"/>
            <w:shd w:fill="F2F4F5" w:color="auto" w:val="clear"/>
            <w:tcMar>
              <w:top w:type="dxa" w:w="60"/>
              <w:left w:type="dxa" w:w="110"/>
              <w:bottom w:type="dxa" w:w="60"/>
              <w:right w:type="dxa" w:w="110"/>
            </w:tcMar>
          </w:tcPr>
          <w:p>
            <w:pPr>
              <w:spacing w:after="0" w:before="0"/>
              <w:jc w:val="left"/>
            </w:pPr>
            <w:r>
              <w:rPr>
                <w:b/>
                <w:bCs/>
                <w:sz w:val="19"/>
                <w:szCs w:val="19"/>
              </w:rPr>
              <w:t xml:space="preserve">Percentile</w:t>
            </w:r>
          </w:p>
        </w:tc>
        <w:tc>
          <w:tcPr>
            <w:tcW w:type="dxa" w:w="1680"/>
            <w:shd w:fill="F2F4F5" w:color="auto" w:val="clear"/>
            <w:tcMar>
              <w:top w:type="dxa" w:w="60"/>
              <w:left w:type="dxa" w:w="110"/>
              <w:bottom w:type="dxa" w:w="60"/>
              <w:right w:type="dxa" w:w="110"/>
            </w:tcMar>
          </w:tcPr>
          <w:p>
            <w:pPr>
              <w:spacing w:after="0" w:before="0"/>
              <w:jc w:val="left"/>
            </w:pPr>
            <w:r>
              <w:rPr>
                <w:b/>
                <w:bCs/>
                <w:sz w:val="19"/>
                <w:szCs w:val="19"/>
              </w:rPr>
              <w:t xml:space="preserve">Climatology</w:t>
            </w:r>
          </w:p>
        </w:tc>
        <w:tc>
          <w:tcPr>
            <w:tcW w:type="dxa" w:w="1680"/>
            <w:shd w:fill="F2F4F5" w:color="auto" w:val="clear"/>
            <w:tcMar>
              <w:top w:type="dxa" w:w="60"/>
              <w:left w:type="dxa" w:w="110"/>
              <w:bottom w:type="dxa" w:w="60"/>
              <w:right w:type="dxa" w:w="110"/>
            </w:tcMar>
          </w:tcPr>
          <w:p>
            <w:pPr>
              <w:spacing w:after="0" w:before="0"/>
              <w:jc w:val="left"/>
            </w:pPr>
            <w:r>
              <w:rPr>
                <w:b/>
                <w:bCs/>
                <w:sz w:val="19"/>
                <w:szCs w:val="19"/>
              </w:rPr>
              <w:t xml:space="preserve">Best transform</w:t>
            </w:r>
          </w:p>
        </w:tc>
        <w:tc>
          <w:tcPr>
            <w:tcW w:type="dxa" w:w="1680"/>
            <w:shd w:fill="F2F4F5" w:color="auto" w:val="clear"/>
            <w:tcMar>
              <w:top w:type="dxa" w:w="60"/>
              <w:left w:type="dxa" w:w="110"/>
              <w:bottom w:type="dxa" w:w="60"/>
              <w:right w:type="dxa" w:w="110"/>
            </w:tcMar>
          </w:tcPr>
          <w:p>
            <w:pPr>
              <w:spacing w:after="0" w:before="0"/>
              <w:jc w:val="left"/>
            </w:pPr>
            <w:r>
              <w:rPr>
                <w:b/>
                <w:bCs/>
                <w:sz w:val="19"/>
                <w:szCs w:val="19"/>
              </w:rPr>
              <w:t xml:space="preserve">which</w:t>
            </w:r>
          </w:p>
        </w:tc>
        <w:tc>
          <w:tcPr>
            <w:tcW w:type="dxa" w:w="1680"/>
            <w:shd w:fill="F2F4F5" w:color="auto" w:val="clear"/>
            <w:tcMar>
              <w:top w:type="dxa" w:w="60"/>
              <w:left w:type="dxa" w:w="110"/>
              <w:bottom w:type="dxa" w:w="60"/>
              <w:right w:type="dxa" w:w="110"/>
            </w:tcMar>
          </w:tcPr>
          <w:p>
            <w:pPr>
              <w:spacing w:after="0" w:before="0"/>
              <w:jc w:val="left"/>
            </w:pPr>
            <w:r>
              <w:rPr>
                <w:b/>
                <w:bCs/>
                <w:sz w:val="19"/>
                <w:szCs w:val="19"/>
              </w:rPr>
              <w:t xml:space="preserve">No correction</w:t>
            </w:r>
          </w:p>
        </w:tc>
      </w:tr>
      <w:tr>
        <w:trPr>
          <w:tblHeader w:val="false"/>
        </w:trPr>
        <w:tc>
          <w:tcPr>
            <w:tcW w:type="dxa" w:w="1680"/>
            <w:tcMar>
              <w:top w:type="dxa" w:w="60"/>
              <w:left w:type="dxa" w:w="110"/>
              <w:bottom w:type="dxa" w:w="60"/>
              <w:right w:type="dxa" w:w="110"/>
            </w:tcMar>
          </w:tcPr>
          <w:p>
            <w:pPr>
              <w:spacing w:after="0" w:before="0"/>
              <w:jc w:val="left"/>
            </w:pPr>
            <w:r>
              <w:rPr>
                <w:sz w:val="19"/>
                <w:szCs w:val="19"/>
              </w:rPr>
              <w:t xml:space="preserve">DJF</w:t>
            </w:r>
          </w:p>
        </w:tc>
        <w:tc>
          <w:tcPr>
            <w:tcW w:type="dxa" w:w="1680"/>
            <w:tcMar>
              <w:top w:type="dxa" w:w="60"/>
              <w:left w:type="dxa" w:w="110"/>
              <w:bottom w:type="dxa" w:w="60"/>
              <w:right w:type="dxa" w:w="110"/>
            </w:tcMar>
          </w:tcPr>
          <w:p>
            <w:pPr>
              <w:spacing w:after="0" w:before="0"/>
              <w:jc w:val="left"/>
            </w:pPr>
            <w:r>
              <w:rPr>
                <w:sz w:val="19"/>
                <w:szCs w:val="19"/>
              </w:rPr>
              <w:t xml:space="preserve">P5</w:t>
            </w:r>
          </w:p>
        </w:tc>
        <w:tc>
          <w:tcPr>
            <w:tcW w:type="dxa" w:w="1680"/>
            <w:tcMar>
              <w:top w:type="dxa" w:w="60"/>
              <w:left w:type="dxa" w:w="110"/>
              <w:bottom w:type="dxa" w:w="60"/>
              <w:right w:type="dxa" w:w="110"/>
            </w:tcMar>
          </w:tcPr>
          <w:p>
            <w:pPr>
              <w:spacing w:after="0" w:before="0"/>
              <w:jc w:val="right"/>
            </w:pPr>
            <w:r>
              <w:rPr>
                <w:b/>
                <w:bCs/>
                <w:sz w:val="19"/>
                <w:szCs w:val="19"/>
              </w:rPr>
              <w:t xml:space="preserve">1.552</w:t>
            </w:r>
          </w:p>
        </w:tc>
        <w:tc>
          <w:tcPr>
            <w:tcW w:type="dxa" w:w="1680"/>
            <w:tcMar>
              <w:top w:type="dxa" w:w="60"/>
              <w:left w:type="dxa" w:w="110"/>
              <w:bottom w:type="dxa" w:w="60"/>
              <w:right w:type="dxa" w:w="110"/>
            </w:tcMar>
          </w:tcPr>
          <w:p>
            <w:pPr>
              <w:spacing w:after="0" w:before="0"/>
              <w:jc w:val="right"/>
            </w:pPr>
            <w:r>
              <w:rPr>
                <w:sz w:val="19"/>
                <w:szCs w:val="19"/>
              </w:rPr>
              <w:t xml:space="preserve">1.838</w:t>
            </w:r>
          </w:p>
        </w:tc>
        <w:tc>
          <w:tcPr>
            <w:tcW w:type="dxa" w:w="1680"/>
            <w:tcMar>
              <w:top w:type="dxa" w:w="60"/>
              <w:left w:type="dxa" w:w="110"/>
              <w:bottom w:type="dxa" w:w="60"/>
              <w:right w:type="dxa" w:w="110"/>
            </w:tcMar>
          </w:tcPr>
          <w:p>
            <w:pPr>
              <w:spacing w:after="0" w:before="0"/>
              <w:jc w:val="left"/>
            </w:pPr>
            <w:r>
              <w:rPr>
                <w:sz w:val="19"/>
                <w:szCs w:val="19"/>
              </w:rPr>
              <w:t xml:space="preserve">Linear</w:t>
            </w:r>
          </w:p>
        </w:tc>
        <w:tc>
          <w:tcPr>
            <w:tcW w:type="dxa" w:w="1680"/>
            <w:tcMar>
              <w:top w:type="dxa" w:w="60"/>
              <w:left w:type="dxa" w:w="110"/>
              <w:bottom w:type="dxa" w:w="60"/>
              <w:right w:type="dxa" w:w="110"/>
            </w:tcMar>
          </w:tcPr>
          <w:p>
            <w:pPr>
              <w:spacing w:after="0" w:before="0"/>
              <w:jc w:val="right"/>
            </w:pPr>
            <w:r>
              <w:rPr>
                <w:sz w:val="19"/>
                <w:szCs w:val="19"/>
              </w:rPr>
              <w:t xml:space="preserve">2.353</w:t>
            </w:r>
          </w:p>
        </w:tc>
      </w:tr>
      <w:tr>
        <w:trPr>
          <w:tblHeader w:val="false"/>
        </w:trPr>
        <w:tc>
          <w:tcPr>
            <w:tcW w:type="dxa" w:w="1680"/>
            <w:tcMar>
              <w:top w:type="dxa" w:w="60"/>
              <w:left w:type="dxa" w:w="110"/>
              <w:bottom w:type="dxa" w:w="60"/>
              <w:right w:type="dxa" w:w="110"/>
            </w:tcMar>
          </w:tcPr>
          <w:p>
            <w:pPr>
              <w:spacing w:after="0" w:before="0"/>
              <w:jc w:val="left"/>
            </w:pPr>
            <w:r>
              <w:rPr>
                <w:sz w:val="19"/>
                <w:szCs w:val="19"/>
              </w:rPr>
              <w:t xml:space="preserve">DJF</w:t>
            </w:r>
          </w:p>
        </w:tc>
        <w:tc>
          <w:tcPr>
            <w:tcW w:type="dxa" w:w="1680"/>
            <w:tcMar>
              <w:top w:type="dxa" w:w="60"/>
              <w:left w:type="dxa" w:w="110"/>
              <w:bottom w:type="dxa" w:w="60"/>
              <w:right w:type="dxa" w:w="110"/>
            </w:tcMar>
          </w:tcPr>
          <w:p>
            <w:pPr>
              <w:spacing w:after="0" w:before="0"/>
              <w:jc w:val="left"/>
            </w:pPr>
            <w:r>
              <w:rPr>
                <w:sz w:val="19"/>
                <w:szCs w:val="19"/>
              </w:rPr>
              <w:t xml:space="preserve">P25</w:t>
            </w:r>
          </w:p>
        </w:tc>
        <w:tc>
          <w:tcPr>
            <w:tcW w:type="dxa" w:w="1680"/>
            <w:tcMar>
              <w:top w:type="dxa" w:w="60"/>
              <w:left w:type="dxa" w:w="110"/>
              <w:bottom w:type="dxa" w:w="60"/>
              <w:right w:type="dxa" w:w="110"/>
            </w:tcMar>
          </w:tcPr>
          <w:p>
            <w:pPr>
              <w:spacing w:after="0" w:before="0"/>
              <w:jc w:val="right"/>
            </w:pPr>
            <w:r>
              <w:rPr>
                <w:b/>
                <w:bCs/>
                <w:sz w:val="19"/>
                <w:szCs w:val="19"/>
              </w:rPr>
              <w:t xml:space="preserve">1.242</w:t>
            </w:r>
          </w:p>
        </w:tc>
        <w:tc>
          <w:tcPr>
            <w:tcW w:type="dxa" w:w="1680"/>
            <w:tcMar>
              <w:top w:type="dxa" w:w="60"/>
              <w:left w:type="dxa" w:w="110"/>
              <w:bottom w:type="dxa" w:w="60"/>
              <w:right w:type="dxa" w:w="110"/>
            </w:tcMar>
          </w:tcPr>
          <w:p>
            <w:pPr>
              <w:spacing w:after="0" w:before="0"/>
              <w:jc w:val="right"/>
            </w:pPr>
            <w:r>
              <w:rPr>
                <w:sz w:val="19"/>
                <w:szCs w:val="19"/>
              </w:rPr>
              <w:t xml:space="preserve">1.467</w:t>
            </w:r>
          </w:p>
        </w:tc>
        <w:tc>
          <w:tcPr>
            <w:tcW w:type="dxa" w:w="1680"/>
            <w:tcMar>
              <w:top w:type="dxa" w:w="60"/>
              <w:left w:type="dxa" w:w="110"/>
              <w:bottom w:type="dxa" w:w="60"/>
              <w:right w:type="dxa" w:w="110"/>
            </w:tcMar>
          </w:tcPr>
          <w:p>
            <w:pPr>
              <w:spacing w:after="0" w:before="0"/>
              <w:jc w:val="left"/>
            </w:pPr>
            <w:r>
              <w:rPr>
                <w:sz w:val="19"/>
                <w:szCs w:val="19"/>
              </w:rPr>
              <w:t xml:space="preserve">Linear</w:t>
            </w:r>
          </w:p>
        </w:tc>
        <w:tc>
          <w:tcPr>
            <w:tcW w:type="dxa" w:w="1680"/>
            <w:tcMar>
              <w:top w:type="dxa" w:w="60"/>
              <w:left w:type="dxa" w:w="110"/>
              <w:bottom w:type="dxa" w:w="60"/>
              <w:right w:type="dxa" w:w="110"/>
            </w:tcMar>
          </w:tcPr>
          <w:p>
            <w:pPr>
              <w:spacing w:after="0" w:before="0"/>
              <w:jc w:val="right"/>
            </w:pPr>
            <w:r>
              <w:rPr>
                <w:sz w:val="19"/>
                <w:szCs w:val="19"/>
              </w:rPr>
              <w:t xml:space="preserve">2.067</w:t>
            </w:r>
          </w:p>
        </w:tc>
      </w:tr>
      <w:tr>
        <w:trPr>
          <w:tblHeader w:val="false"/>
        </w:trPr>
        <w:tc>
          <w:tcPr>
            <w:tcW w:type="dxa" w:w="1680"/>
            <w:tcMar>
              <w:top w:type="dxa" w:w="60"/>
              <w:left w:type="dxa" w:w="110"/>
              <w:bottom w:type="dxa" w:w="60"/>
              <w:right w:type="dxa" w:w="110"/>
            </w:tcMar>
          </w:tcPr>
          <w:p>
            <w:pPr>
              <w:spacing w:after="0" w:before="0"/>
              <w:jc w:val="left"/>
            </w:pPr>
            <w:r>
              <w:rPr>
                <w:sz w:val="19"/>
                <w:szCs w:val="19"/>
              </w:rPr>
              <w:t xml:space="preserve">DJF</w:t>
            </w:r>
          </w:p>
        </w:tc>
        <w:tc>
          <w:tcPr>
            <w:tcW w:type="dxa" w:w="1680"/>
            <w:tcMar>
              <w:top w:type="dxa" w:w="60"/>
              <w:left w:type="dxa" w:w="110"/>
              <w:bottom w:type="dxa" w:w="60"/>
              <w:right w:type="dxa" w:w="110"/>
            </w:tcMar>
          </w:tcPr>
          <w:p>
            <w:pPr>
              <w:spacing w:after="0" w:before="0"/>
              <w:jc w:val="left"/>
            </w:pPr>
            <w:r>
              <w:rPr>
                <w:sz w:val="19"/>
                <w:szCs w:val="19"/>
              </w:rPr>
              <w:t xml:space="preserve">P50</w:t>
            </w:r>
          </w:p>
        </w:tc>
        <w:tc>
          <w:tcPr>
            <w:tcW w:type="dxa" w:w="1680"/>
            <w:tcMar>
              <w:top w:type="dxa" w:w="60"/>
              <w:left w:type="dxa" w:w="110"/>
              <w:bottom w:type="dxa" w:w="60"/>
              <w:right w:type="dxa" w:w="110"/>
            </w:tcMar>
          </w:tcPr>
          <w:p>
            <w:pPr>
              <w:spacing w:after="0" w:before="0"/>
              <w:jc w:val="right"/>
            </w:pPr>
            <w:r>
              <w:rPr>
                <w:b/>
                <w:bCs/>
                <w:sz w:val="19"/>
                <w:szCs w:val="19"/>
              </w:rPr>
              <w:t xml:space="preserve">1.204</w:t>
            </w:r>
          </w:p>
        </w:tc>
        <w:tc>
          <w:tcPr>
            <w:tcW w:type="dxa" w:w="1680"/>
            <w:tcMar>
              <w:top w:type="dxa" w:w="60"/>
              <w:left w:type="dxa" w:w="110"/>
              <w:bottom w:type="dxa" w:w="60"/>
              <w:right w:type="dxa" w:w="110"/>
            </w:tcMar>
          </w:tcPr>
          <w:p>
            <w:pPr>
              <w:spacing w:after="0" w:before="0"/>
              <w:jc w:val="right"/>
            </w:pPr>
            <w:r>
              <w:rPr>
                <w:sz w:val="19"/>
                <w:szCs w:val="19"/>
              </w:rPr>
              <w:t xml:space="preserve">1.328</w:t>
            </w:r>
          </w:p>
        </w:tc>
        <w:tc>
          <w:tcPr>
            <w:tcW w:type="dxa" w:w="1680"/>
            <w:tcMar>
              <w:top w:type="dxa" w:w="60"/>
              <w:left w:type="dxa" w:w="110"/>
              <w:bottom w:type="dxa" w:w="60"/>
              <w:right w:type="dxa" w:w="110"/>
            </w:tcMar>
          </w:tcPr>
          <w:p>
            <w:pPr>
              <w:spacing w:after="0" w:before="0"/>
              <w:jc w:val="left"/>
            </w:pPr>
            <w:r>
              <w:rPr>
                <w:sz w:val="19"/>
                <w:szCs w:val="19"/>
              </w:rPr>
              <w:t xml:space="preserve">QUANT</w:t>
            </w:r>
          </w:p>
        </w:tc>
        <w:tc>
          <w:tcPr>
            <w:tcW w:type="dxa" w:w="1680"/>
            <w:tcMar>
              <w:top w:type="dxa" w:w="60"/>
              <w:left w:type="dxa" w:w="110"/>
              <w:bottom w:type="dxa" w:w="60"/>
              <w:right w:type="dxa" w:w="110"/>
            </w:tcMar>
          </w:tcPr>
          <w:p>
            <w:pPr>
              <w:spacing w:after="0" w:before="0"/>
              <w:jc w:val="right"/>
            </w:pPr>
            <w:r>
              <w:rPr>
                <w:sz w:val="19"/>
                <w:szCs w:val="19"/>
              </w:rPr>
              <w:t xml:space="preserve">1.984</w:t>
            </w:r>
          </w:p>
        </w:tc>
      </w:tr>
      <w:tr>
        <w:trPr>
          <w:tblHeader w:val="false"/>
        </w:trPr>
        <w:tc>
          <w:tcPr>
            <w:tcW w:type="dxa" w:w="1680"/>
            <w:tcMar>
              <w:top w:type="dxa" w:w="60"/>
              <w:left w:type="dxa" w:w="110"/>
              <w:bottom w:type="dxa" w:w="60"/>
              <w:right w:type="dxa" w:w="110"/>
            </w:tcMar>
          </w:tcPr>
          <w:p>
            <w:pPr>
              <w:spacing w:after="0" w:before="0"/>
              <w:jc w:val="left"/>
            </w:pPr>
            <w:r>
              <w:rPr>
                <w:sz w:val="19"/>
                <w:szCs w:val="19"/>
              </w:rPr>
              <w:t xml:space="preserve">DJF</w:t>
            </w:r>
          </w:p>
        </w:tc>
        <w:tc>
          <w:tcPr>
            <w:tcW w:type="dxa" w:w="1680"/>
            <w:tcMar>
              <w:top w:type="dxa" w:w="60"/>
              <w:left w:type="dxa" w:w="110"/>
              <w:bottom w:type="dxa" w:w="60"/>
              <w:right w:type="dxa" w:w="110"/>
            </w:tcMar>
          </w:tcPr>
          <w:p>
            <w:pPr>
              <w:spacing w:after="0" w:before="0"/>
              <w:jc w:val="left"/>
            </w:pPr>
            <w:r>
              <w:rPr>
                <w:sz w:val="19"/>
                <w:szCs w:val="19"/>
              </w:rPr>
              <w:t xml:space="preserve">P75</w:t>
            </w:r>
          </w:p>
        </w:tc>
        <w:tc>
          <w:tcPr>
            <w:tcW w:type="dxa" w:w="1680"/>
            <w:tcMar>
              <w:top w:type="dxa" w:w="60"/>
              <w:left w:type="dxa" w:w="110"/>
              <w:bottom w:type="dxa" w:w="60"/>
              <w:right w:type="dxa" w:w="110"/>
            </w:tcMar>
          </w:tcPr>
          <w:p>
            <w:pPr>
              <w:spacing w:after="0" w:before="0"/>
              <w:jc w:val="right"/>
            </w:pPr>
            <w:r>
              <w:rPr>
                <w:b/>
                <w:bCs/>
                <w:sz w:val="19"/>
                <w:szCs w:val="19"/>
              </w:rPr>
              <w:t xml:space="preserve">1.238</w:t>
            </w:r>
          </w:p>
        </w:tc>
        <w:tc>
          <w:tcPr>
            <w:tcW w:type="dxa" w:w="1680"/>
            <w:tcMar>
              <w:top w:type="dxa" w:w="60"/>
              <w:left w:type="dxa" w:w="110"/>
              <w:bottom w:type="dxa" w:w="60"/>
              <w:right w:type="dxa" w:w="110"/>
            </w:tcMar>
          </w:tcPr>
          <w:p>
            <w:pPr>
              <w:spacing w:after="0" w:before="0"/>
              <w:jc w:val="right"/>
            </w:pPr>
            <w:r>
              <w:rPr>
                <w:sz w:val="19"/>
                <w:szCs w:val="19"/>
              </w:rPr>
              <w:t xml:space="preserve">1.370</w:t>
            </w:r>
          </w:p>
        </w:tc>
        <w:tc>
          <w:tcPr>
            <w:tcW w:type="dxa" w:w="1680"/>
            <w:tcMar>
              <w:top w:type="dxa" w:w="60"/>
              <w:left w:type="dxa" w:w="110"/>
              <w:bottom w:type="dxa" w:w="60"/>
              <w:right w:type="dxa" w:w="110"/>
            </w:tcMar>
          </w:tcPr>
          <w:p>
            <w:pPr>
              <w:spacing w:after="0" w:before="0"/>
              <w:jc w:val="left"/>
            </w:pPr>
            <w:r>
              <w:rPr>
                <w:sz w:val="19"/>
                <w:szCs w:val="19"/>
              </w:rPr>
              <w:t xml:space="preserve">QUANT</w:t>
            </w:r>
          </w:p>
        </w:tc>
        <w:tc>
          <w:tcPr>
            <w:tcW w:type="dxa" w:w="1680"/>
            <w:tcMar>
              <w:top w:type="dxa" w:w="60"/>
              <w:left w:type="dxa" w:w="110"/>
              <w:bottom w:type="dxa" w:w="60"/>
              <w:right w:type="dxa" w:w="110"/>
            </w:tcMar>
          </w:tcPr>
          <w:p>
            <w:pPr>
              <w:spacing w:after="0" w:before="0"/>
              <w:jc w:val="right"/>
            </w:pPr>
            <w:r>
              <w:rPr>
                <w:sz w:val="19"/>
                <w:szCs w:val="19"/>
              </w:rPr>
              <w:t xml:space="preserve">2.116</w:t>
            </w:r>
          </w:p>
        </w:tc>
      </w:tr>
      <w:tr>
        <w:trPr>
          <w:tblHeader w:val="false"/>
        </w:trPr>
        <w:tc>
          <w:tcPr>
            <w:tcW w:type="dxa" w:w="1680"/>
            <w:tcMar>
              <w:top w:type="dxa" w:w="60"/>
              <w:left w:type="dxa" w:w="110"/>
              <w:bottom w:type="dxa" w:w="60"/>
              <w:right w:type="dxa" w:w="110"/>
            </w:tcMar>
          </w:tcPr>
          <w:p>
            <w:pPr>
              <w:spacing w:after="0" w:before="0"/>
              <w:jc w:val="left"/>
            </w:pPr>
            <w:r>
              <w:rPr>
                <w:sz w:val="19"/>
                <w:szCs w:val="19"/>
              </w:rPr>
              <w:t xml:space="preserve">DJF</w:t>
            </w:r>
          </w:p>
        </w:tc>
        <w:tc>
          <w:tcPr>
            <w:tcW w:type="dxa" w:w="1680"/>
            <w:tcMar>
              <w:top w:type="dxa" w:w="60"/>
              <w:left w:type="dxa" w:w="110"/>
              <w:bottom w:type="dxa" w:w="60"/>
              <w:right w:type="dxa" w:w="110"/>
            </w:tcMar>
          </w:tcPr>
          <w:p>
            <w:pPr>
              <w:spacing w:after="0" w:before="0"/>
              <w:jc w:val="left"/>
            </w:pPr>
            <w:r>
              <w:rPr>
                <w:sz w:val="19"/>
                <w:szCs w:val="19"/>
              </w:rPr>
              <w:t xml:space="preserve">P90</w:t>
            </w:r>
          </w:p>
        </w:tc>
        <w:tc>
          <w:tcPr>
            <w:tcW w:type="dxa" w:w="1680"/>
            <w:tcMar>
              <w:top w:type="dxa" w:w="60"/>
              <w:left w:type="dxa" w:w="110"/>
              <w:bottom w:type="dxa" w:w="60"/>
              <w:right w:type="dxa" w:w="110"/>
            </w:tcMar>
          </w:tcPr>
          <w:p>
            <w:pPr>
              <w:spacing w:after="0" w:before="0"/>
              <w:jc w:val="right"/>
            </w:pPr>
            <w:r>
              <w:rPr>
                <w:b/>
                <w:bCs/>
                <w:sz w:val="19"/>
                <w:szCs w:val="19"/>
              </w:rPr>
              <w:t xml:space="preserve">1.389</w:t>
            </w:r>
          </w:p>
        </w:tc>
        <w:tc>
          <w:tcPr>
            <w:tcW w:type="dxa" w:w="1680"/>
            <w:tcMar>
              <w:top w:type="dxa" w:w="60"/>
              <w:left w:type="dxa" w:w="110"/>
              <w:bottom w:type="dxa" w:w="60"/>
              <w:right w:type="dxa" w:w="110"/>
            </w:tcMar>
          </w:tcPr>
          <w:p>
            <w:pPr>
              <w:spacing w:after="0" w:before="0"/>
              <w:jc w:val="right"/>
            </w:pPr>
            <w:r>
              <w:rPr>
                <w:sz w:val="19"/>
                <w:szCs w:val="19"/>
              </w:rPr>
              <w:t xml:space="preserve">1.586</w:t>
            </w:r>
          </w:p>
        </w:tc>
        <w:tc>
          <w:tcPr>
            <w:tcW w:type="dxa" w:w="1680"/>
            <w:tcMar>
              <w:top w:type="dxa" w:w="60"/>
              <w:left w:type="dxa" w:w="110"/>
              <w:bottom w:type="dxa" w:w="60"/>
              <w:right w:type="dxa" w:w="110"/>
            </w:tcMar>
          </w:tcPr>
          <w:p>
            <w:pPr>
              <w:spacing w:after="0" w:before="0"/>
              <w:jc w:val="left"/>
            </w:pPr>
            <w:r>
              <w:rPr>
                <w:sz w:val="19"/>
                <w:szCs w:val="19"/>
              </w:rPr>
              <w:t xml:space="preserve">Linear</w:t>
            </w:r>
          </w:p>
        </w:tc>
        <w:tc>
          <w:tcPr>
            <w:tcW w:type="dxa" w:w="1680"/>
            <w:tcMar>
              <w:top w:type="dxa" w:w="60"/>
              <w:left w:type="dxa" w:w="110"/>
              <w:bottom w:type="dxa" w:w="60"/>
              <w:right w:type="dxa" w:w="110"/>
            </w:tcMar>
          </w:tcPr>
          <w:p>
            <w:pPr>
              <w:spacing w:after="0" w:before="0"/>
              <w:jc w:val="right"/>
            </w:pPr>
            <w:r>
              <w:rPr>
                <w:sz w:val="19"/>
                <w:szCs w:val="19"/>
              </w:rPr>
              <w:t xml:space="preserve">2.221</w:t>
            </w:r>
          </w:p>
        </w:tc>
      </w:tr>
      <w:tr>
        <w:trPr>
          <w:tblHeader w:val="false"/>
        </w:trPr>
        <w:tc>
          <w:tcPr>
            <w:tcW w:type="dxa" w:w="1680"/>
            <w:tcMar>
              <w:top w:type="dxa" w:w="60"/>
              <w:left w:type="dxa" w:w="110"/>
              <w:bottom w:type="dxa" w:w="60"/>
              <w:right w:type="dxa" w:w="110"/>
            </w:tcMar>
          </w:tcPr>
          <w:p>
            <w:pPr>
              <w:spacing w:after="0" w:before="0"/>
              <w:jc w:val="left"/>
            </w:pPr>
            <w:r>
              <w:rPr>
                <w:sz w:val="19"/>
                <w:szCs w:val="19"/>
              </w:rPr>
              <w:t xml:space="preserve">MAM</w:t>
            </w:r>
          </w:p>
        </w:tc>
        <w:tc>
          <w:tcPr>
            <w:tcW w:type="dxa" w:w="1680"/>
            <w:tcMar>
              <w:top w:type="dxa" w:w="60"/>
              <w:left w:type="dxa" w:w="110"/>
              <w:bottom w:type="dxa" w:w="60"/>
              <w:right w:type="dxa" w:w="110"/>
            </w:tcMar>
          </w:tcPr>
          <w:p>
            <w:pPr>
              <w:spacing w:after="0" w:before="0"/>
              <w:jc w:val="left"/>
            </w:pPr>
            <w:r>
              <w:rPr>
                <w:sz w:val="19"/>
                <w:szCs w:val="19"/>
              </w:rPr>
              <w:t xml:space="preserve">P5</w:t>
            </w:r>
          </w:p>
        </w:tc>
        <w:tc>
          <w:tcPr>
            <w:tcW w:type="dxa" w:w="1680"/>
            <w:tcMar>
              <w:top w:type="dxa" w:w="60"/>
              <w:left w:type="dxa" w:w="110"/>
              <w:bottom w:type="dxa" w:w="60"/>
              <w:right w:type="dxa" w:w="110"/>
            </w:tcMar>
          </w:tcPr>
          <w:p>
            <w:pPr>
              <w:spacing w:after="0" w:before="0"/>
              <w:jc w:val="right"/>
            </w:pPr>
            <w:r>
              <w:rPr>
                <w:b/>
                <w:bCs/>
                <w:sz w:val="19"/>
                <w:szCs w:val="19"/>
              </w:rPr>
              <w:t xml:space="preserve">1.082</w:t>
            </w:r>
          </w:p>
        </w:tc>
        <w:tc>
          <w:tcPr>
            <w:tcW w:type="dxa" w:w="1680"/>
            <w:tcMar>
              <w:top w:type="dxa" w:w="60"/>
              <w:left w:type="dxa" w:w="110"/>
              <w:bottom w:type="dxa" w:w="60"/>
              <w:right w:type="dxa" w:w="110"/>
            </w:tcMar>
          </w:tcPr>
          <w:p>
            <w:pPr>
              <w:spacing w:after="0" w:before="0"/>
              <w:jc w:val="right"/>
            </w:pPr>
            <w:r>
              <w:rPr>
                <w:sz w:val="19"/>
                <w:szCs w:val="19"/>
              </w:rPr>
              <w:t xml:space="preserve">1.257</w:t>
            </w:r>
          </w:p>
        </w:tc>
        <w:tc>
          <w:tcPr>
            <w:tcW w:type="dxa" w:w="1680"/>
            <w:tcMar>
              <w:top w:type="dxa" w:w="60"/>
              <w:left w:type="dxa" w:w="110"/>
              <w:bottom w:type="dxa" w:w="60"/>
              <w:right w:type="dxa" w:w="110"/>
            </w:tcMar>
          </w:tcPr>
          <w:p>
            <w:pPr>
              <w:spacing w:after="0" w:before="0"/>
              <w:jc w:val="left"/>
            </w:pPr>
            <w:r>
              <w:rPr>
                <w:sz w:val="19"/>
                <w:szCs w:val="19"/>
              </w:rPr>
              <w:t xml:space="preserve">RQUANT</w:t>
            </w:r>
          </w:p>
        </w:tc>
        <w:tc>
          <w:tcPr>
            <w:tcW w:type="dxa" w:w="1680"/>
            <w:tcMar>
              <w:top w:type="dxa" w:w="60"/>
              <w:left w:type="dxa" w:w="110"/>
              <w:bottom w:type="dxa" w:w="60"/>
              <w:right w:type="dxa" w:w="110"/>
            </w:tcMar>
          </w:tcPr>
          <w:p>
            <w:pPr>
              <w:spacing w:after="0" w:before="0"/>
              <w:jc w:val="right"/>
            </w:pPr>
            <w:r>
              <w:rPr>
                <w:sz w:val="19"/>
                <w:szCs w:val="19"/>
              </w:rPr>
              <w:t xml:space="preserve">2.389</w:t>
            </w:r>
          </w:p>
        </w:tc>
      </w:tr>
      <w:tr>
        <w:trPr>
          <w:tblHeader w:val="false"/>
        </w:trPr>
        <w:tc>
          <w:tcPr>
            <w:tcW w:type="dxa" w:w="1680"/>
            <w:tcMar>
              <w:top w:type="dxa" w:w="60"/>
              <w:left w:type="dxa" w:w="110"/>
              <w:bottom w:type="dxa" w:w="60"/>
              <w:right w:type="dxa" w:w="110"/>
            </w:tcMar>
          </w:tcPr>
          <w:p>
            <w:pPr>
              <w:spacing w:after="0" w:before="0"/>
              <w:jc w:val="left"/>
            </w:pPr>
            <w:r>
              <w:rPr>
                <w:sz w:val="19"/>
                <w:szCs w:val="19"/>
              </w:rPr>
              <w:t xml:space="preserve">MAM</w:t>
            </w:r>
          </w:p>
        </w:tc>
        <w:tc>
          <w:tcPr>
            <w:tcW w:type="dxa" w:w="1680"/>
            <w:tcMar>
              <w:top w:type="dxa" w:w="60"/>
              <w:left w:type="dxa" w:w="110"/>
              <w:bottom w:type="dxa" w:w="60"/>
              <w:right w:type="dxa" w:w="110"/>
            </w:tcMar>
          </w:tcPr>
          <w:p>
            <w:pPr>
              <w:spacing w:after="0" w:before="0"/>
              <w:jc w:val="left"/>
            </w:pPr>
            <w:r>
              <w:rPr>
                <w:sz w:val="19"/>
                <w:szCs w:val="19"/>
              </w:rPr>
              <w:t xml:space="preserve">P25</w:t>
            </w:r>
          </w:p>
        </w:tc>
        <w:tc>
          <w:tcPr>
            <w:tcW w:type="dxa" w:w="1680"/>
            <w:tcMar>
              <w:top w:type="dxa" w:w="60"/>
              <w:left w:type="dxa" w:w="110"/>
              <w:bottom w:type="dxa" w:w="60"/>
              <w:right w:type="dxa" w:w="110"/>
            </w:tcMar>
          </w:tcPr>
          <w:p>
            <w:pPr>
              <w:spacing w:after="0" w:before="0"/>
              <w:jc w:val="right"/>
            </w:pPr>
            <w:r>
              <w:rPr>
                <w:b/>
                <w:bCs/>
                <w:sz w:val="19"/>
                <w:szCs w:val="19"/>
              </w:rPr>
              <w:t xml:space="preserve">1.018</w:t>
            </w:r>
          </w:p>
        </w:tc>
        <w:tc>
          <w:tcPr>
            <w:tcW w:type="dxa" w:w="1680"/>
            <w:tcMar>
              <w:top w:type="dxa" w:w="60"/>
              <w:left w:type="dxa" w:w="110"/>
              <w:bottom w:type="dxa" w:w="60"/>
              <w:right w:type="dxa" w:w="110"/>
            </w:tcMar>
          </w:tcPr>
          <w:p>
            <w:pPr>
              <w:spacing w:after="0" w:before="0"/>
              <w:jc w:val="right"/>
            </w:pPr>
            <w:r>
              <w:rPr>
                <w:sz w:val="19"/>
                <w:szCs w:val="19"/>
              </w:rPr>
              <w:t xml:space="preserve">1.501</w:t>
            </w:r>
          </w:p>
        </w:tc>
        <w:tc>
          <w:tcPr>
            <w:tcW w:type="dxa" w:w="1680"/>
            <w:tcMar>
              <w:top w:type="dxa" w:w="60"/>
              <w:left w:type="dxa" w:w="110"/>
              <w:bottom w:type="dxa" w:w="60"/>
              <w:right w:type="dxa" w:w="110"/>
            </w:tcMar>
          </w:tcPr>
          <w:p>
            <w:pPr>
              <w:spacing w:after="0" w:before="0"/>
              <w:jc w:val="left"/>
            </w:pPr>
            <w:r>
              <w:rPr>
                <w:sz w:val="19"/>
                <w:szCs w:val="19"/>
              </w:rPr>
              <w:t xml:space="preserve">SSPLIN</w:t>
            </w:r>
          </w:p>
        </w:tc>
        <w:tc>
          <w:tcPr>
            <w:tcW w:type="dxa" w:w="1680"/>
            <w:tcMar>
              <w:top w:type="dxa" w:w="60"/>
              <w:left w:type="dxa" w:w="110"/>
              <w:bottom w:type="dxa" w:w="60"/>
              <w:right w:type="dxa" w:w="110"/>
            </w:tcMar>
          </w:tcPr>
          <w:p>
            <w:pPr>
              <w:spacing w:after="0" w:before="0"/>
              <w:jc w:val="right"/>
            </w:pPr>
            <w:r>
              <w:rPr>
                <w:sz w:val="19"/>
                <w:szCs w:val="19"/>
              </w:rPr>
              <w:t xml:space="preserve">2.545</w:t>
            </w:r>
          </w:p>
        </w:tc>
      </w:tr>
      <w:tr>
        <w:trPr>
          <w:tblHeader w:val="false"/>
        </w:trPr>
        <w:tc>
          <w:tcPr>
            <w:tcW w:type="dxa" w:w="1680"/>
            <w:tcMar>
              <w:top w:type="dxa" w:w="60"/>
              <w:left w:type="dxa" w:w="110"/>
              <w:bottom w:type="dxa" w:w="60"/>
              <w:right w:type="dxa" w:w="110"/>
            </w:tcMar>
          </w:tcPr>
          <w:p>
            <w:pPr>
              <w:spacing w:after="0" w:before="0"/>
              <w:jc w:val="left"/>
            </w:pPr>
            <w:r>
              <w:rPr>
                <w:sz w:val="19"/>
                <w:szCs w:val="19"/>
              </w:rPr>
              <w:t xml:space="preserve">MAM</w:t>
            </w:r>
          </w:p>
        </w:tc>
        <w:tc>
          <w:tcPr>
            <w:tcW w:type="dxa" w:w="1680"/>
            <w:tcMar>
              <w:top w:type="dxa" w:w="60"/>
              <w:left w:type="dxa" w:w="110"/>
              <w:bottom w:type="dxa" w:w="60"/>
              <w:right w:type="dxa" w:w="110"/>
            </w:tcMar>
          </w:tcPr>
          <w:p>
            <w:pPr>
              <w:spacing w:after="0" w:before="0"/>
              <w:jc w:val="left"/>
            </w:pPr>
            <w:r>
              <w:rPr>
                <w:sz w:val="19"/>
                <w:szCs w:val="19"/>
              </w:rPr>
              <w:t xml:space="preserve">P50</w:t>
            </w:r>
          </w:p>
        </w:tc>
        <w:tc>
          <w:tcPr>
            <w:tcW w:type="dxa" w:w="1680"/>
            <w:tcMar>
              <w:top w:type="dxa" w:w="60"/>
              <w:left w:type="dxa" w:w="110"/>
              <w:bottom w:type="dxa" w:w="60"/>
              <w:right w:type="dxa" w:w="110"/>
            </w:tcMar>
          </w:tcPr>
          <w:p>
            <w:pPr>
              <w:spacing w:after="0" w:before="0"/>
              <w:jc w:val="right"/>
            </w:pPr>
            <w:r>
              <w:rPr>
                <w:b/>
                <w:bCs/>
                <w:sz w:val="19"/>
                <w:szCs w:val="19"/>
              </w:rPr>
              <w:t xml:space="preserve">1.057</w:t>
            </w:r>
          </w:p>
        </w:tc>
        <w:tc>
          <w:tcPr>
            <w:tcW w:type="dxa" w:w="1680"/>
            <w:tcMar>
              <w:top w:type="dxa" w:w="60"/>
              <w:left w:type="dxa" w:w="110"/>
              <w:bottom w:type="dxa" w:w="60"/>
              <w:right w:type="dxa" w:w="110"/>
            </w:tcMar>
          </w:tcPr>
          <w:p>
            <w:pPr>
              <w:spacing w:after="0" w:before="0"/>
              <w:jc w:val="right"/>
            </w:pPr>
            <w:r>
              <w:rPr>
                <w:sz w:val="19"/>
                <w:szCs w:val="19"/>
              </w:rPr>
              <w:t xml:space="preserve">1.654</w:t>
            </w:r>
          </w:p>
        </w:tc>
        <w:tc>
          <w:tcPr>
            <w:tcW w:type="dxa" w:w="1680"/>
            <w:tcMar>
              <w:top w:type="dxa" w:w="60"/>
              <w:left w:type="dxa" w:w="110"/>
              <w:bottom w:type="dxa" w:w="60"/>
              <w:right w:type="dxa" w:w="110"/>
            </w:tcMar>
          </w:tcPr>
          <w:p>
            <w:pPr>
              <w:spacing w:after="0" w:before="0"/>
              <w:jc w:val="left"/>
            </w:pPr>
            <w:r>
              <w:rPr>
                <w:sz w:val="19"/>
                <w:szCs w:val="19"/>
              </w:rPr>
              <w:t xml:space="preserve">Linear</w:t>
            </w:r>
          </w:p>
        </w:tc>
        <w:tc>
          <w:tcPr>
            <w:tcW w:type="dxa" w:w="1680"/>
            <w:tcMar>
              <w:top w:type="dxa" w:w="60"/>
              <w:left w:type="dxa" w:w="110"/>
              <w:bottom w:type="dxa" w:w="60"/>
              <w:right w:type="dxa" w:w="110"/>
            </w:tcMar>
          </w:tcPr>
          <w:p>
            <w:pPr>
              <w:spacing w:after="0" w:before="0"/>
              <w:jc w:val="right"/>
            </w:pPr>
            <w:r>
              <w:rPr>
                <w:sz w:val="19"/>
                <w:szCs w:val="19"/>
              </w:rPr>
              <w:t xml:space="preserve">2.185</w:t>
            </w:r>
          </w:p>
        </w:tc>
      </w:tr>
      <w:tr>
        <w:trPr>
          <w:tblHeader w:val="false"/>
        </w:trPr>
        <w:tc>
          <w:tcPr>
            <w:tcW w:type="dxa" w:w="1680"/>
            <w:tcMar>
              <w:top w:type="dxa" w:w="60"/>
              <w:left w:type="dxa" w:w="110"/>
              <w:bottom w:type="dxa" w:w="60"/>
              <w:right w:type="dxa" w:w="110"/>
            </w:tcMar>
          </w:tcPr>
          <w:p>
            <w:pPr>
              <w:spacing w:after="0" w:before="0"/>
              <w:jc w:val="left"/>
            </w:pPr>
            <w:r>
              <w:rPr>
                <w:sz w:val="19"/>
                <w:szCs w:val="19"/>
              </w:rPr>
              <w:t xml:space="preserve">MAM</w:t>
            </w:r>
          </w:p>
        </w:tc>
        <w:tc>
          <w:tcPr>
            <w:tcW w:type="dxa" w:w="1680"/>
            <w:tcMar>
              <w:top w:type="dxa" w:w="60"/>
              <w:left w:type="dxa" w:w="110"/>
              <w:bottom w:type="dxa" w:w="60"/>
              <w:right w:type="dxa" w:w="110"/>
            </w:tcMar>
          </w:tcPr>
          <w:p>
            <w:pPr>
              <w:spacing w:after="0" w:before="0"/>
              <w:jc w:val="left"/>
            </w:pPr>
            <w:r>
              <w:rPr>
                <w:sz w:val="19"/>
                <w:szCs w:val="19"/>
              </w:rPr>
              <w:t xml:space="preserve">P75</w:t>
            </w:r>
          </w:p>
        </w:tc>
        <w:tc>
          <w:tcPr>
            <w:tcW w:type="dxa" w:w="1680"/>
            <w:tcMar>
              <w:top w:type="dxa" w:w="60"/>
              <w:left w:type="dxa" w:w="110"/>
              <w:bottom w:type="dxa" w:w="60"/>
              <w:right w:type="dxa" w:w="110"/>
            </w:tcMar>
          </w:tcPr>
          <w:p>
            <w:pPr>
              <w:spacing w:after="0" w:before="0"/>
              <w:jc w:val="right"/>
            </w:pPr>
            <w:r>
              <w:rPr>
                <w:b/>
                <w:bCs/>
                <w:sz w:val="19"/>
                <w:szCs w:val="19"/>
              </w:rPr>
              <w:t xml:space="preserve">1.041</w:t>
            </w:r>
          </w:p>
        </w:tc>
        <w:tc>
          <w:tcPr>
            <w:tcW w:type="dxa" w:w="1680"/>
            <w:tcMar>
              <w:top w:type="dxa" w:w="60"/>
              <w:left w:type="dxa" w:w="110"/>
              <w:bottom w:type="dxa" w:w="60"/>
              <w:right w:type="dxa" w:w="110"/>
            </w:tcMar>
          </w:tcPr>
          <w:p>
            <w:pPr>
              <w:spacing w:after="0" w:before="0"/>
              <w:jc w:val="right"/>
            </w:pPr>
            <w:r>
              <w:rPr>
                <w:sz w:val="19"/>
                <w:szCs w:val="19"/>
              </w:rPr>
              <w:t xml:space="preserve">1.675</w:t>
            </w:r>
          </w:p>
        </w:tc>
        <w:tc>
          <w:tcPr>
            <w:tcW w:type="dxa" w:w="1680"/>
            <w:tcMar>
              <w:top w:type="dxa" w:w="60"/>
              <w:left w:type="dxa" w:w="110"/>
              <w:bottom w:type="dxa" w:w="60"/>
              <w:right w:type="dxa" w:w="110"/>
            </w:tcMar>
          </w:tcPr>
          <w:p>
            <w:pPr>
              <w:spacing w:after="0" w:before="0"/>
              <w:jc w:val="left"/>
            </w:pPr>
            <w:r>
              <w:rPr>
                <w:sz w:val="19"/>
                <w:szCs w:val="19"/>
              </w:rPr>
              <w:t xml:space="preserve">Linear</w:t>
            </w:r>
          </w:p>
        </w:tc>
        <w:tc>
          <w:tcPr>
            <w:tcW w:type="dxa" w:w="1680"/>
            <w:tcMar>
              <w:top w:type="dxa" w:w="60"/>
              <w:left w:type="dxa" w:w="110"/>
              <w:bottom w:type="dxa" w:w="60"/>
              <w:right w:type="dxa" w:w="110"/>
            </w:tcMar>
          </w:tcPr>
          <w:p>
            <w:pPr>
              <w:spacing w:after="0" w:before="0"/>
              <w:jc w:val="right"/>
            </w:pPr>
            <w:r>
              <w:rPr>
                <w:sz w:val="19"/>
                <w:szCs w:val="19"/>
              </w:rPr>
              <w:t xml:space="preserve">1.841</w:t>
            </w:r>
          </w:p>
        </w:tc>
      </w:tr>
      <w:tr>
        <w:trPr>
          <w:tblHeader w:val="false"/>
        </w:trPr>
        <w:tc>
          <w:tcPr>
            <w:tcW w:type="dxa" w:w="1680"/>
            <w:tcMar>
              <w:top w:type="dxa" w:w="60"/>
              <w:left w:type="dxa" w:w="110"/>
              <w:bottom w:type="dxa" w:w="60"/>
              <w:right w:type="dxa" w:w="110"/>
            </w:tcMar>
          </w:tcPr>
          <w:p>
            <w:pPr>
              <w:spacing w:after="0" w:before="0"/>
              <w:jc w:val="left"/>
            </w:pPr>
            <w:r>
              <w:rPr>
                <w:sz w:val="19"/>
                <w:szCs w:val="19"/>
              </w:rPr>
              <w:t xml:space="preserve">MAM</w:t>
            </w:r>
          </w:p>
        </w:tc>
        <w:tc>
          <w:tcPr>
            <w:tcW w:type="dxa" w:w="1680"/>
            <w:tcMar>
              <w:top w:type="dxa" w:w="60"/>
              <w:left w:type="dxa" w:w="110"/>
              <w:bottom w:type="dxa" w:w="60"/>
              <w:right w:type="dxa" w:w="110"/>
            </w:tcMar>
          </w:tcPr>
          <w:p>
            <w:pPr>
              <w:spacing w:after="0" w:before="0"/>
              <w:jc w:val="left"/>
            </w:pPr>
            <w:r>
              <w:rPr>
                <w:sz w:val="19"/>
                <w:szCs w:val="19"/>
              </w:rPr>
              <w:t xml:space="preserve">P90</w:t>
            </w:r>
          </w:p>
        </w:tc>
        <w:tc>
          <w:tcPr>
            <w:tcW w:type="dxa" w:w="1680"/>
            <w:tcMar>
              <w:top w:type="dxa" w:w="60"/>
              <w:left w:type="dxa" w:w="110"/>
              <w:bottom w:type="dxa" w:w="60"/>
              <w:right w:type="dxa" w:w="110"/>
            </w:tcMar>
          </w:tcPr>
          <w:p>
            <w:pPr>
              <w:spacing w:after="0" w:before="0"/>
              <w:jc w:val="right"/>
            </w:pPr>
            <w:r>
              <w:rPr>
                <w:b/>
                <w:bCs/>
                <w:sz w:val="19"/>
                <w:szCs w:val="19"/>
              </w:rPr>
              <w:t xml:space="preserve">1.101</w:t>
            </w:r>
          </w:p>
        </w:tc>
        <w:tc>
          <w:tcPr>
            <w:tcW w:type="dxa" w:w="1680"/>
            <w:tcMar>
              <w:top w:type="dxa" w:w="60"/>
              <w:left w:type="dxa" w:w="110"/>
              <w:bottom w:type="dxa" w:w="60"/>
              <w:right w:type="dxa" w:w="110"/>
            </w:tcMar>
          </w:tcPr>
          <w:p>
            <w:pPr>
              <w:spacing w:after="0" w:before="0"/>
              <w:jc w:val="right"/>
            </w:pPr>
            <w:r>
              <w:rPr>
                <w:sz w:val="19"/>
                <w:szCs w:val="19"/>
              </w:rPr>
              <w:t xml:space="preserve">1.486</w:t>
            </w:r>
          </w:p>
        </w:tc>
        <w:tc>
          <w:tcPr>
            <w:tcW w:type="dxa" w:w="1680"/>
            <w:tcMar>
              <w:top w:type="dxa" w:w="60"/>
              <w:left w:type="dxa" w:w="110"/>
              <w:bottom w:type="dxa" w:w="60"/>
              <w:right w:type="dxa" w:w="110"/>
            </w:tcMar>
          </w:tcPr>
          <w:p>
            <w:pPr>
              <w:spacing w:after="0" w:before="0"/>
              <w:jc w:val="left"/>
            </w:pPr>
            <w:r>
              <w:rPr>
                <w:sz w:val="19"/>
                <w:szCs w:val="19"/>
              </w:rPr>
              <w:t xml:space="preserve">RQUANT</w:t>
            </w:r>
          </w:p>
        </w:tc>
        <w:tc>
          <w:tcPr>
            <w:tcW w:type="dxa" w:w="1680"/>
            <w:tcMar>
              <w:top w:type="dxa" w:w="60"/>
              <w:left w:type="dxa" w:w="110"/>
              <w:bottom w:type="dxa" w:w="60"/>
              <w:right w:type="dxa" w:w="110"/>
            </w:tcMar>
          </w:tcPr>
          <w:p>
            <w:pPr>
              <w:spacing w:after="0" w:before="0"/>
              <w:jc w:val="right"/>
            </w:pPr>
            <w:r>
              <w:rPr>
                <w:sz w:val="19"/>
                <w:szCs w:val="19"/>
              </w:rPr>
              <w:t xml:space="preserve">1.858</w:t>
            </w:r>
          </w:p>
        </w:tc>
      </w:tr>
      <w:tr>
        <w:trPr>
          <w:tblHeader w:val="false"/>
        </w:trPr>
        <w:tc>
          <w:tcPr>
            <w:tcW w:type="dxa" w:w="1680"/>
            <w:tcMar>
              <w:top w:type="dxa" w:w="60"/>
              <w:left w:type="dxa" w:w="110"/>
              <w:bottom w:type="dxa" w:w="60"/>
              <w:right w:type="dxa" w:w="110"/>
            </w:tcMar>
          </w:tcPr>
          <w:p>
            <w:pPr>
              <w:spacing w:after="0" w:before="0"/>
              <w:jc w:val="left"/>
            </w:pPr>
            <w:r>
              <w:rPr>
                <w:sz w:val="19"/>
                <w:szCs w:val="19"/>
              </w:rPr>
              <w:t xml:space="preserve">JJA</w:t>
            </w:r>
          </w:p>
        </w:tc>
        <w:tc>
          <w:tcPr>
            <w:tcW w:type="dxa" w:w="1680"/>
            <w:tcMar>
              <w:top w:type="dxa" w:w="60"/>
              <w:left w:type="dxa" w:w="110"/>
              <w:bottom w:type="dxa" w:w="60"/>
              <w:right w:type="dxa" w:w="110"/>
            </w:tcMar>
          </w:tcPr>
          <w:p>
            <w:pPr>
              <w:spacing w:after="0" w:before="0"/>
              <w:jc w:val="left"/>
            </w:pPr>
            <w:r>
              <w:rPr>
                <w:sz w:val="19"/>
                <w:szCs w:val="19"/>
              </w:rPr>
              <w:t xml:space="preserve">P5</w:t>
            </w:r>
          </w:p>
        </w:tc>
        <w:tc>
          <w:tcPr>
            <w:tcW w:type="dxa" w:w="1680"/>
            <w:tcMar>
              <w:top w:type="dxa" w:w="60"/>
              <w:left w:type="dxa" w:w="110"/>
              <w:bottom w:type="dxa" w:w="60"/>
              <w:right w:type="dxa" w:w="110"/>
            </w:tcMar>
          </w:tcPr>
          <w:p>
            <w:pPr>
              <w:spacing w:after="0" w:before="0"/>
              <w:jc w:val="right"/>
            </w:pPr>
            <w:r>
              <w:rPr>
                <w:b/>
                <w:bCs/>
                <w:sz w:val="19"/>
                <w:szCs w:val="19"/>
              </w:rPr>
              <w:t xml:space="preserve">0.574</w:t>
            </w:r>
          </w:p>
        </w:tc>
        <w:tc>
          <w:tcPr>
            <w:tcW w:type="dxa" w:w="1680"/>
            <w:tcMar>
              <w:top w:type="dxa" w:w="60"/>
              <w:left w:type="dxa" w:w="110"/>
              <w:bottom w:type="dxa" w:w="60"/>
              <w:right w:type="dxa" w:w="110"/>
            </w:tcMar>
          </w:tcPr>
          <w:p>
            <w:pPr>
              <w:spacing w:after="0" w:before="0"/>
              <w:jc w:val="right"/>
            </w:pPr>
            <w:r>
              <w:rPr>
                <w:sz w:val="19"/>
                <w:szCs w:val="19"/>
              </w:rPr>
              <w:t xml:space="preserve">0.730</w:t>
            </w:r>
          </w:p>
        </w:tc>
        <w:tc>
          <w:tcPr>
            <w:tcW w:type="dxa" w:w="1680"/>
            <w:tcMar>
              <w:top w:type="dxa" w:w="60"/>
              <w:left w:type="dxa" w:w="110"/>
              <w:bottom w:type="dxa" w:w="60"/>
              <w:right w:type="dxa" w:w="110"/>
            </w:tcMar>
          </w:tcPr>
          <w:p>
            <w:pPr>
              <w:spacing w:after="0" w:before="0"/>
              <w:jc w:val="left"/>
            </w:pPr>
            <w:r>
              <w:rPr>
                <w:sz w:val="19"/>
                <w:szCs w:val="19"/>
              </w:rPr>
              <w:t xml:space="preserve">Polynomial</w:t>
            </w:r>
          </w:p>
        </w:tc>
        <w:tc>
          <w:tcPr>
            <w:tcW w:type="dxa" w:w="1680"/>
            <w:tcMar>
              <w:top w:type="dxa" w:w="60"/>
              <w:left w:type="dxa" w:w="110"/>
              <w:bottom w:type="dxa" w:w="60"/>
              <w:right w:type="dxa" w:w="110"/>
            </w:tcMar>
          </w:tcPr>
          <w:p>
            <w:pPr>
              <w:spacing w:after="0" w:before="0"/>
              <w:jc w:val="right"/>
            </w:pPr>
            <w:r>
              <w:rPr>
                <w:sz w:val="19"/>
                <w:szCs w:val="19"/>
              </w:rPr>
              <w:t xml:space="preserve">1.590</w:t>
            </w:r>
          </w:p>
        </w:tc>
      </w:tr>
      <w:tr>
        <w:trPr>
          <w:tblHeader w:val="false"/>
        </w:trPr>
        <w:tc>
          <w:tcPr>
            <w:tcW w:type="dxa" w:w="1680"/>
            <w:tcMar>
              <w:top w:type="dxa" w:w="60"/>
              <w:left w:type="dxa" w:w="110"/>
              <w:bottom w:type="dxa" w:w="60"/>
              <w:right w:type="dxa" w:w="110"/>
            </w:tcMar>
          </w:tcPr>
          <w:p>
            <w:pPr>
              <w:spacing w:after="0" w:before="0"/>
              <w:jc w:val="left"/>
            </w:pPr>
            <w:r>
              <w:rPr>
                <w:sz w:val="19"/>
                <w:szCs w:val="19"/>
              </w:rPr>
              <w:t xml:space="preserve">JJA</w:t>
            </w:r>
          </w:p>
        </w:tc>
        <w:tc>
          <w:tcPr>
            <w:tcW w:type="dxa" w:w="1680"/>
            <w:tcMar>
              <w:top w:type="dxa" w:w="60"/>
              <w:left w:type="dxa" w:w="110"/>
              <w:bottom w:type="dxa" w:w="60"/>
              <w:right w:type="dxa" w:w="110"/>
            </w:tcMar>
          </w:tcPr>
          <w:p>
            <w:pPr>
              <w:spacing w:after="0" w:before="0"/>
              <w:jc w:val="left"/>
            </w:pPr>
            <w:r>
              <w:rPr>
                <w:sz w:val="19"/>
                <w:szCs w:val="19"/>
              </w:rPr>
              <w:t xml:space="preserve">P25</w:t>
            </w:r>
          </w:p>
        </w:tc>
        <w:tc>
          <w:tcPr>
            <w:tcW w:type="dxa" w:w="1680"/>
            <w:tcMar>
              <w:top w:type="dxa" w:w="60"/>
              <w:left w:type="dxa" w:w="110"/>
              <w:bottom w:type="dxa" w:w="60"/>
              <w:right w:type="dxa" w:w="110"/>
            </w:tcMar>
          </w:tcPr>
          <w:p>
            <w:pPr>
              <w:spacing w:after="0" w:before="0"/>
              <w:jc w:val="right"/>
            </w:pPr>
            <w:r>
              <w:rPr>
                <w:b/>
                <w:bCs/>
                <w:sz w:val="19"/>
                <w:szCs w:val="19"/>
              </w:rPr>
              <w:t xml:space="preserve">0.532</w:t>
            </w:r>
          </w:p>
        </w:tc>
        <w:tc>
          <w:tcPr>
            <w:tcW w:type="dxa" w:w="1680"/>
            <w:tcMar>
              <w:top w:type="dxa" w:w="60"/>
              <w:left w:type="dxa" w:w="110"/>
              <w:bottom w:type="dxa" w:w="60"/>
              <w:right w:type="dxa" w:w="110"/>
            </w:tcMar>
          </w:tcPr>
          <w:p>
            <w:pPr>
              <w:spacing w:after="0" w:before="0"/>
              <w:jc w:val="right"/>
            </w:pPr>
            <w:r>
              <w:rPr>
                <w:sz w:val="19"/>
                <w:szCs w:val="19"/>
              </w:rPr>
              <w:t xml:space="preserve">0.656</w:t>
            </w:r>
          </w:p>
        </w:tc>
        <w:tc>
          <w:tcPr>
            <w:tcW w:type="dxa" w:w="1680"/>
            <w:tcMar>
              <w:top w:type="dxa" w:w="60"/>
              <w:left w:type="dxa" w:w="110"/>
              <w:bottom w:type="dxa" w:w="60"/>
              <w:right w:type="dxa" w:w="110"/>
            </w:tcMar>
          </w:tcPr>
          <w:p>
            <w:pPr>
              <w:spacing w:after="0" w:before="0"/>
              <w:jc w:val="left"/>
            </w:pPr>
            <w:r>
              <w:rPr>
                <w:sz w:val="19"/>
                <w:szCs w:val="19"/>
              </w:rPr>
              <w:t xml:space="preserve">SSPLIN</w:t>
            </w:r>
          </w:p>
        </w:tc>
        <w:tc>
          <w:tcPr>
            <w:tcW w:type="dxa" w:w="1680"/>
            <w:tcMar>
              <w:top w:type="dxa" w:w="60"/>
              <w:left w:type="dxa" w:w="110"/>
              <w:bottom w:type="dxa" w:w="60"/>
              <w:right w:type="dxa" w:w="110"/>
            </w:tcMar>
          </w:tcPr>
          <w:p>
            <w:pPr>
              <w:spacing w:after="0" w:before="0"/>
              <w:jc w:val="right"/>
            </w:pPr>
            <w:r>
              <w:rPr>
                <w:sz w:val="19"/>
                <w:szCs w:val="19"/>
              </w:rPr>
              <w:t xml:space="preserve">1.897</w:t>
            </w:r>
          </w:p>
        </w:tc>
      </w:tr>
      <w:tr>
        <w:trPr>
          <w:tblHeader w:val="false"/>
        </w:trPr>
        <w:tc>
          <w:tcPr>
            <w:tcW w:type="dxa" w:w="1680"/>
            <w:tcMar>
              <w:top w:type="dxa" w:w="60"/>
              <w:left w:type="dxa" w:w="110"/>
              <w:bottom w:type="dxa" w:w="60"/>
              <w:right w:type="dxa" w:w="110"/>
            </w:tcMar>
          </w:tcPr>
          <w:p>
            <w:pPr>
              <w:spacing w:after="0" w:before="0"/>
              <w:jc w:val="left"/>
            </w:pPr>
            <w:r>
              <w:rPr>
                <w:sz w:val="19"/>
                <w:szCs w:val="19"/>
              </w:rPr>
              <w:t xml:space="preserve">JJA</w:t>
            </w:r>
          </w:p>
        </w:tc>
        <w:tc>
          <w:tcPr>
            <w:tcW w:type="dxa" w:w="1680"/>
            <w:tcMar>
              <w:top w:type="dxa" w:w="60"/>
              <w:left w:type="dxa" w:w="110"/>
              <w:bottom w:type="dxa" w:w="60"/>
              <w:right w:type="dxa" w:w="110"/>
            </w:tcMar>
          </w:tcPr>
          <w:p>
            <w:pPr>
              <w:spacing w:after="0" w:before="0"/>
              <w:jc w:val="left"/>
            </w:pPr>
            <w:r>
              <w:rPr>
                <w:sz w:val="19"/>
                <w:szCs w:val="19"/>
              </w:rPr>
              <w:t xml:space="preserve">P50</w:t>
            </w:r>
          </w:p>
        </w:tc>
        <w:tc>
          <w:tcPr>
            <w:tcW w:type="dxa" w:w="1680"/>
            <w:tcMar>
              <w:top w:type="dxa" w:w="60"/>
              <w:left w:type="dxa" w:w="110"/>
              <w:bottom w:type="dxa" w:w="60"/>
              <w:right w:type="dxa" w:w="110"/>
            </w:tcMar>
          </w:tcPr>
          <w:p>
            <w:pPr>
              <w:spacing w:after="0" w:before="0"/>
              <w:jc w:val="right"/>
            </w:pPr>
            <w:r>
              <w:rPr>
                <w:b/>
                <w:bCs/>
                <w:sz w:val="19"/>
                <w:szCs w:val="19"/>
              </w:rPr>
              <w:t xml:space="preserve">0.577</w:t>
            </w:r>
          </w:p>
        </w:tc>
        <w:tc>
          <w:tcPr>
            <w:tcW w:type="dxa" w:w="1680"/>
            <w:tcMar>
              <w:top w:type="dxa" w:w="60"/>
              <w:left w:type="dxa" w:w="110"/>
              <w:bottom w:type="dxa" w:w="60"/>
              <w:right w:type="dxa" w:w="110"/>
            </w:tcMar>
          </w:tcPr>
          <w:p>
            <w:pPr>
              <w:spacing w:after="0" w:before="0"/>
              <w:jc w:val="right"/>
            </w:pPr>
            <w:r>
              <w:rPr>
                <w:sz w:val="19"/>
                <w:szCs w:val="19"/>
              </w:rPr>
              <w:t xml:space="preserve">0.589</w:t>
            </w:r>
          </w:p>
        </w:tc>
        <w:tc>
          <w:tcPr>
            <w:tcW w:type="dxa" w:w="1680"/>
            <w:tcMar>
              <w:top w:type="dxa" w:w="60"/>
              <w:left w:type="dxa" w:w="110"/>
              <w:bottom w:type="dxa" w:w="60"/>
              <w:right w:type="dxa" w:w="110"/>
            </w:tcMar>
          </w:tcPr>
          <w:p>
            <w:pPr>
              <w:spacing w:after="0" w:before="0"/>
              <w:jc w:val="left"/>
            </w:pPr>
            <w:r>
              <w:rPr>
                <w:sz w:val="19"/>
                <w:szCs w:val="19"/>
              </w:rPr>
              <w:t xml:space="preserve">Linear</w:t>
            </w:r>
          </w:p>
        </w:tc>
        <w:tc>
          <w:tcPr>
            <w:tcW w:type="dxa" w:w="1680"/>
            <w:tcMar>
              <w:top w:type="dxa" w:w="60"/>
              <w:left w:type="dxa" w:w="110"/>
              <w:bottom w:type="dxa" w:w="60"/>
              <w:right w:type="dxa" w:w="110"/>
            </w:tcMar>
          </w:tcPr>
          <w:p>
            <w:pPr>
              <w:spacing w:after="0" w:before="0"/>
              <w:jc w:val="right"/>
            </w:pPr>
            <w:r>
              <w:rPr>
                <w:sz w:val="19"/>
                <w:szCs w:val="19"/>
              </w:rPr>
              <w:t xml:space="preserve">2.111</w:t>
            </w:r>
          </w:p>
        </w:tc>
      </w:tr>
      <w:tr>
        <w:trPr>
          <w:tblHeader w:val="false"/>
        </w:trPr>
        <w:tc>
          <w:tcPr>
            <w:tcW w:type="dxa" w:w="1680"/>
            <w:tcMar>
              <w:top w:type="dxa" w:w="60"/>
              <w:left w:type="dxa" w:w="110"/>
              <w:bottom w:type="dxa" w:w="60"/>
              <w:right w:type="dxa" w:w="110"/>
            </w:tcMar>
          </w:tcPr>
          <w:p>
            <w:pPr>
              <w:spacing w:after="0" w:before="0"/>
              <w:jc w:val="left"/>
            </w:pPr>
            <w:r>
              <w:rPr>
                <w:sz w:val="19"/>
                <w:szCs w:val="19"/>
              </w:rPr>
              <w:t xml:space="preserve">JJA</w:t>
            </w:r>
          </w:p>
        </w:tc>
        <w:tc>
          <w:tcPr>
            <w:tcW w:type="dxa" w:w="1680"/>
            <w:tcMar>
              <w:top w:type="dxa" w:w="60"/>
              <w:left w:type="dxa" w:w="110"/>
              <w:bottom w:type="dxa" w:w="60"/>
              <w:right w:type="dxa" w:w="110"/>
            </w:tcMar>
          </w:tcPr>
          <w:p>
            <w:pPr>
              <w:spacing w:after="0" w:before="0"/>
              <w:jc w:val="left"/>
            </w:pPr>
            <w:r>
              <w:rPr>
                <w:sz w:val="19"/>
                <w:szCs w:val="19"/>
              </w:rPr>
              <w:t xml:space="preserve">P75</w:t>
            </w:r>
          </w:p>
        </w:tc>
        <w:tc>
          <w:tcPr>
            <w:tcW w:type="dxa" w:w="1680"/>
            <w:tcMar>
              <w:top w:type="dxa" w:w="60"/>
              <w:left w:type="dxa" w:w="110"/>
              <w:bottom w:type="dxa" w:w="60"/>
              <w:right w:type="dxa" w:w="110"/>
            </w:tcMar>
          </w:tcPr>
          <w:p>
            <w:pPr>
              <w:spacing w:after="0" w:before="0"/>
              <w:jc w:val="right"/>
            </w:pPr>
            <w:r>
              <w:rPr>
                <w:b/>
                <w:bCs/>
                <w:sz w:val="19"/>
                <w:szCs w:val="19"/>
              </w:rPr>
              <w:t xml:space="preserve">0.617</w:t>
            </w:r>
          </w:p>
        </w:tc>
        <w:tc>
          <w:tcPr>
            <w:tcW w:type="dxa" w:w="1680"/>
            <w:tcMar>
              <w:top w:type="dxa" w:w="60"/>
              <w:left w:type="dxa" w:w="110"/>
              <w:bottom w:type="dxa" w:w="60"/>
              <w:right w:type="dxa" w:w="110"/>
            </w:tcMar>
          </w:tcPr>
          <w:p>
            <w:pPr>
              <w:spacing w:after="0" w:before="0"/>
              <w:jc w:val="right"/>
            </w:pPr>
            <w:r>
              <w:rPr>
                <w:sz w:val="19"/>
                <w:szCs w:val="19"/>
              </w:rPr>
              <w:t xml:space="preserve">0.716</w:t>
            </w:r>
          </w:p>
        </w:tc>
        <w:tc>
          <w:tcPr>
            <w:tcW w:type="dxa" w:w="1680"/>
            <w:tcMar>
              <w:top w:type="dxa" w:w="60"/>
              <w:left w:type="dxa" w:w="110"/>
              <w:bottom w:type="dxa" w:w="60"/>
              <w:right w:type="dxa" w:w="110"/>
            </w:tcMar>
          </w:tcPr>
          <w:p>
            <w:pPr>
              <w:spacing w:after="0" w:before="0"/>
              <w:jc w:val="left"/>
            </w:pPr>
            <w:r>
              <w:rPr>
                <w:sz w:val="19"/>
                <w:szCs w:val="19"/>
              </w:rPr>
              <w:t xml:space="preserve">QUANT</w:t>
            </w:r>
          </w:p>
        </w:tc>
        <w:tc>
          <w:tcPr>
            <w:tcW w:type="dxa" w:w="1680"/>
            <w:tcMar>
              <w:top w:type="dxa" w:w="60"/>
              <w:left w:type="dxa" w:w="110"/>
              <w:bottom w:type="dxa" w:w="60"/>
              <w:right w:type="dxa" w:w="110"/>
            </w:tcMar>
          </w:tcPr>
          <w:p>
            <w:pPr>
              <w:spacing w:after="0" w:before="0"/>
              <w:jc w:val="right"/>
            </w:pPr>
            <w:r>
              <w:rPr>
                <w:sz w:val="19"/>
                <w:szCs w:val="19"/>
              </w:rPr>
              <w:t xml:space="preserve">2.350</w:t>
            </w:r>
          </w:p>
        </w:tc>
      </w:tr>
      <w:tr>
        <w:trPr>
          <w:tblHeader w:val="false"/>
        </w:trPr>
        <w:tc>
          <w:tcPr>
            <w:tcW w:type="dxa" w:w="1680"/>
            <w:tcMar>
              <w:top w:type="dxa" w:w="60"/>
              <w:left w:type="dxa" w:w="110"/>
              <w:bottom w:type="dxa" w:w="60"/>
              <w:right w:type="dxa" w:w="110"/>
            </w:tcMar>
          </w:tcPr>
          <w:p>
            <w:pPr>
              <w:spacing w:after="0" w:before="0"/>
              <w:jc w:val="left"/>
            </w:pPr>
            <w:r>
              <w:rPr>
                <w:sz w:val="19"/>
                <w:szCs w:val="19"/>
              </w:rPr>
              <w:t xml:space="preserve">JJA</w:t>
            </w:r>
          </w:p>
        </w:tc>
        <w:tc>
          <w:tcPr>
            <w:tcW w:type="dxa" w:w="1680"/>
            <w:tcMar>
              <w:top w:type="dxa" w:w="60"/>
              <w:left w:type="dxa" w:w="110"/>
              <w:bottom w:type="dxa" w:w="60"/>
              <w:right w:type="dxa" w:w="110"/>
            </w:tcMar>
          </w:tcPr>
          <w:p>
            <w:pPr>
              <w:spacing w:after="0" w:before="0"/>
              <w:jc w:val="left"/>
            </w:pPr>
            <w:r>
              <w:rPr>
                <w:sz w:val="19"/>
                <w:szCs w:val="19"/>
              </w:rPr>
              <w:t xml:space="preserve">P90</w:t>
            </w:r>
          </w:p>
        </w:tc>
        <w:tc>
          <w:tcPr>
            <w:tcW w:type="dxa" w:w="1680"/>
            <w:tcMar>
              <w:top w:type="dxa" w:w="60"/>
              <w:left w:type="dxa" w:w="110"/>
              <w:bottom w:type="dxa" w:w="60"/>
              <w:right w:type="dxa" w:w="110"/>
            </w:tcMar>
          </w:tcPr>
          <w:p>
            <w:pPr>
              <w:spacing w:after="0" w:before="0"/>
              <w:jc w:val="right"/>
            </w:pPr>
            <w:r>
              <w:rPr>
                <w:b/>
                <w:bCs/>
                <w:sz w:val="19"/>
                <w:szCs w:val="19"/>
              </w:rPr>
              <w:t xml:space="preserve">0.718</w:t>
            </w:r>
          </w:p>
        </w:tc>
        <w:tc>
          <w:tcPr>
            <w:tcW w:type="dxa" w:w="1680"/>
            <w:tcMar>
              <w:top w:type="dxa" w:w="60"/>
              <w:left w:type="dxa" w:w="110"/>
              <w:bottom w:type="dxa" w:w="60"/>
              <w:right w:type="dxa" w:w="110"/>
            </w:tcMar>
          </w:tcPr>
          <w:p>
            <w:pPr>
              <w:spacing w:after="0" w:before="0"/>
              <w:jc w:val="right"/>
            </w:pPr>
            <w:r>
              <w:rPr>
                <w:sz w:val="19"/>
                <w:szCs w:val="19"/>
              </w:rPr>
              <w:t xml:space="preserve">0.961</w:t>
            </w:r>
          </w:p>
        </w:tc>
        <w:tc>
          <w:tcPr>
            <w:tcW w:type="dxa" w:w="1680"/>
            <w:tcMar>
              <w:top w:type="dxa" w:w="60"/>
              <w:left w:type="dxa" w:w="110"/>
              <w:bottom w:type="dxa" w:w="60"/>
              <w:right w:type="dxa" w:w="110"/>
            </w:tcMar>
          </w:tcPr>
          <w:p>
            <w:pPr>
              <w:spacing w:after="0" w:before="0"/>
              <w:jc w:val="left"/>
            </w:pPr>
            <w:r>
              <w:rPr>
                <w:sz w:val="19"/>
                <w:szCs w:val="19"/>
              </w:rPr>
              <w:t xml:space="preserve">RQUANT</w:t>
            </w:r>
          </w:p>
        </w:tc>
        <w:tc>
          <w:tcPr>
            <w:tcW w:type="dxa" w:w="1680"/>
            <w:tcMar>
              <w:top w:type="dxa" w:w="60"/>
              <w:left w:type="dxa" w:w="110"/>
              <w:bottom w:type="dxa" w:w="60"/>
              <w:right w:type="dxa" w:w="110"/>
            </w:tcMar>
          </w:tcPr>
          <w:p>
            <w:pPr>
              <w:spacing w:after="0" w:before="0"/>
              <w:jc w:val="right"/>
            </w:pPr>
            <w:r>
              <w:rPr>
                <w:sz w:val="19"/>
                <w:szCs w:val="19"/>
              </w:rPr>
              <w:t xml:space="preserve">2.732</w:t>
            </w:r>
          </w:p>
        </w:tc>
      </w:tr>
      <w:tr>
        <w:trPr>
          <w:tblHeader w:val="false"/>
        </w:trPr>
        <w:tc>
          <w:tcPr>
            <w:tcW w:type="dxa" w:w="1680"/>
            <w:tcMar>
              <w:top w:type="dxa" w:w="60"/>
              <w:left w:type="dxa" w:w="110"/>
              <w:bottom w:type="dxa" w:w="60"/>
              <w:right w:type="dxa" w:w="110"/>
            </w:tcMar>
          </w:tcPr>
          <w:p>
            <w:pPr>
              <w:spacing w:after="0" w:before="0"/>
              <w:jc w:val="left"/>
            </w:pPr>
            <w:r>
              <w:rPr>
                <w:sz w:val="19"/>
                <w:szCs w:val="19"/>
              </w:rPr>
              <w:t xml:space="preserve">SON</w:t>
            </w:r>
          </w:p>
        </w:tc>
        <w:tc>
          <w:tcPr>
            <w:tcW w:type="dxa" w:w="1680"/>
            <w:tcMar>
              <w:top w:type="dxa" w:w="60"/>
              <w:left w:type="dxa" w:w="110"/>
              <w:bottom w:type="dxa" w:w="60"/>
              <w:right w:type="dxa" w:w="110"/>
            </w:tcMar>
          </w:tcPr>
          <w:p>
            <w:pPr>
              <w:spacing w:after="0" w:before="0"/>
              <w:jc w:val="left"/>
            </w:pPr>
            <w:r>
              <w:rPr>
                <w:sz w:val="19"/>
                <w:szCs w:val="19"/>
              </w:rPr>
              <w:t xml:space="preserve">P5</w:t>
            </w:r>
          </w:p>
        </w:tc>
        <w:tc>
          <w:tcPr>
            <w:tcW w:type="dxa" w:w="1680"/>
            <w:tcMar>
              <w:top w:type="dxa" w:w="60"/>
              <w:left w:type="dxa" w:w="110"/>
              <w:bottom w:type="dxa" w:w="60"/>
              <w:right w:type="dxa" w:w="110"/>
            </w:tcMar>
          </w:tcPr>
          <w:p>
            <w:pPr>
              <w:spacing w:after="0" w:before="0"/>
              <w:jc w:val="right"/>
            </w:pPr>
            <w:r>
              <w:rPr>
                <w:b/>
                <w:bCs/>
                <w:sz w:val="19"/>
                <w:szCs w:val="19"/>
              </w:rPr>
              <w:t xml:space="preserve">2.064</w:t>
            </w:r>
          </w:p>
        </w:tc>
        <w:tc>
          <w:tcPr>
            <w:tcW w:type="dxa" w:w="1680"/>
            <w:tcMar>
              <w:top w:type="dxa" w:w="60"/>
              <w:left w:type="dxa" w:w="110"/>
              <w:bottom w:type="dxa" w:w="60"/>
              <w:right w:type="dxa" w:w="110"/>
            </w:tcMar>
          </w:tcPr>
          <w:p>
            <w:pPr>
              <w:spacing w:after="0" w:before="0"/>
              <w:jc w:val="right"/>
            </w:pPr>
            <w:r>
              <w:rPr>
                <w:sz w:val="19"/>
                <w:szCs w:val="19"/>
              </w:rPr>
              <w:t xml:space="preserve">2.498</w:t>
            </w:r>
          </w:p>
        </w:tc>
        <w:tc>
          <w:tcPr>
            <w:tcW w:type="dxa" w:w="1680"/>
            <w:tcMar>
              <w:top w:type="dxa" w:w="60"/>
              <w:left w:type="dxa" w:w="110"/>
              <w:bottom w:type="dxa" w:w="60"/>
              <w:right w:type="dxa" w:w="110"/>
            </w:tcMar>
          </w:tcPr>
          <w:p>
            <w:pPr>
              <w:spacing w:after="0" w:before="0"/>
              <w:jc w:val="left"/>
            </w:pPr>
            <w:r>
              <w:rPr>
                <w:sz w:val="19"/>
                <w:szCs w:val="19"/>
              </w:rPr>
              <w:t xml:space="preserve">Linear</w:t>
            </w:r>
          </w:p>
        </w:tc>
        <w:tc>
          <w:tcPr>
            <w:tcW w:type="dxa" w:w="1680"/>
            <w:tcMar>
              <w:top w:type="dxa" w:w="60"/>
              <w:left w:type="dxa" w:w="110"/>
              <w:bottom w:type="dxa" w:w="60"/>
              <w:right w:type="dxa" w:w="110"/>
            </w:tcMar>
          </w:tcPr>
          <w:p>
            <w:pPr>
              <w:spacing w:after="0" w:before="0"/>
              <w:jc w:val="right"/>
            </w:pPr>
            <w:r>
              <w:rPr>
                <w:sz w:val="19"/>
                <w:szCs w:val="19"/>
              </w:rPr>
              <w:t xml:space="preserve">2.837</w:t>
            </w:r>
          </w:p>
        </w:tc>
      </w:tr>
      <w:tr>
        <w:trPr>
          <w:tblHeader w:val="false"/>
        </w:trPr>
        <w:tc>
          <w:tcPr>
            <w:tcW w:type="dxa" w:w="1680"/>
            <w:tcMar>
              <w:top w:type="dxa" w:w="60"/>
              <w:left w:type="dxa" w:w="110"/>
              <w:bottom w:type="dxa" w:w="60"/>
              <w:right w:type="dxa" w:w="110"/>
            </w:tcMar>
          </w:tcPr>
          <w:p>
            <w:pPr>
              <w:spacing w:after="0" w:before="0"/>
              <w:jc w:val="left"/>
            </w:pPr>
            <w:r>
              <w:rPr>
                <w:sz w:val="19"/>
                <w:szCs w:val="19"/>
              </w:rPr>
              <w:t xml:space="preserve">SON</w:t>
            </w:r>
          </w:p>
        </w:tc>
        <w:tc>
          <w:tcPr>
            <w:tcW w:type="dxa" w:w="1680"/>
            <w:tcMar>
              <w:top w:type="dxa" w:w="60"/>
              <w:left w:type="dxa" w:w="110"/>
              <w:bottom w:type="dxa" w:w="60"/>
              <w:right w:type="dxa" w:w="110"/>
            </w:tcMar>
          </w:tcPr>
          <w:p>
            <w:pPr>
              <w:spacing w:after="0" w:before="0"/>
              <w:jc w:val="left"/>
            </w:pPr>
            <w:r>
              <w:rPr>
                <w:sz w:val="19"/>
                <w:szCs w:val="19"/>
              </w:rPr>
              <w:t xml:space="preserve">P25</w:t>
            </w:r>
          </w:p>
        </w:tc>
        <w:tc>
          <w:tcPr>
            <w:tcW w:type="dxa" w:w="1680"/>
            <w:tcMar>
              <w:top w:type="dxa" w:w="60"/>
              <w:left w:type="dxa" w:w="110"/>
              <w:bottom w:type="dxa" w:w="60"/>
              <w:right w:type="dxa" w:w="110"/>
            </w:tcMar>
          </w:tcPr>
          <w:p>
            <w:pPr>
              <w:spacing w:after="0" w:before="0"/>
              <w:jc w:val="right"/>
            </w:pPr>
            <w:r>
              <w:rPr>
                <w:b/>
                <w:bCs/>
                <w:sz w:val="19"/>
                <w:szCs w:val="19"/>
              </w:rPr>
              <w:t xml:space="preserve">1.158</w:t>
            </w:r>
          </w:p>
        </w:tc>
        <w:tc>
          <w:tcPr>
            <w:tcW w:type="dxa" w:w="1680"/>
            <w:tcMar>
              <w:top w:type="dxa" w:w="60"/>
              <w:left w:type="dxa" w:w="110"/>
              <w:bottom w:type="dxa" w:w="60"/>
              <w:right w:type="dxa" w:w="110"/>
            </w:tcMar>
          </w:tcPr>
          <w:p>
            <w:pPr>
              <w:spacing w:after="0" w:before="0"/>
              <w:jc w:val="right"/>
            </w:pPr>
            <w:r>
              <w:rPr>
                <w:sz w:val="19"/>
                <w:szCs w:val="19"/>
              </w:rPr>
              <w:t xml:space="preserve">1.621</w:t>
            </w:r>
          </w:p>
        </w:tc>
        <w:tc>
          <w:tcPr>
            <w:tcW w:type="dxa" w:w="1680"/>
            <w:tcMar>
              <w:top w:type="dxa" w:w="60"/>
              <w:left w:type="dxa" w:w="110"/>
              <w:bottom w:type="dxa" w:w="60"/>
              <w:right w:type="dxa" w:w="110"/>
            </w:tcMar>
          </w:tcPr>
          <w:p>
            <w:pPr>
              <w:spacing w:after="0" w:before="0"/>
              <w:jc w:val="left"/>
            </w:pPr>
            <w:r>
              <w:rPr>
                <w:sz w:val="19"/>
                <w:szCs w:val="19"/>
              </w:rPr>
              <w:t xml:space="preserve">Linear</w:t>
            </w:r>
          </w:p>
        </w:tc>
        <w:tc>
          <w:tcPr>
            <w:tcW w:type="dxa" w:w="1680"/>
            <w:tcMar>
              <w:top w:type="dxa" w:w="60"/>
              <w:left w:type="dxa" w:w="110"/>
              <w:bottom w:type="dxa" w:w="60"/>
              <w:right w:type="dxa" w:w="110"/>
            </w:tcMar>
          </w:tcPr>
          <w:p>
            <w:pPr>
              <w:spacing w:after="0" w:before="0"/>
              <w:jc w:val="right"/>
            </w:pPr>
            <w:r>
              <w:rPr>
                <w:sz w:val="19"/>
                <w:szCs w:val="19"/>
              </w:rPr>
              <w:t xml:space="preserve">2.137</w:t>
            </w:r>
          </w:p>
        </w:tc>
      </w:tr>
      <w:tr>
        <w:trPr>
          <w:tblHeader w:val="false"/>
        </w:trPr>
        <w:tc>
          <w:tcPr>
            <w:tcW w:type="dxa" w:w="1680"/>
            <w:tcMar>
              <w:top w:type="dxa" w:w="60"/>
              <w:left w:type="dxa" w:w="110"/>
              <w:bottom w:type="dxa" w:w="60"/>
              <w:right w:type="dxa" w:w="110"/>
            </w:tcMar>
          </w:tcPr>
          <w:p>
            <w:pPr>
              <w:spacing w:after="0" w:before="0"/>
              <w:jc w:val="left"/>
            </w:pPr>
            <w:r>
              <w:rPr>
                <w:sz w:val="19"/>
                <w:szCs w:val="19"/>
              </w:rPr>
              <w:t xml:space="preserve">SON</w:t>
            </w:r>
          </w:p>
        </w:tc>
        <w:tc>
          <w:tcPr>
            <w:tcW w:type="dxa" w:w="1680"/>
            <w:tcMar>
              <w:top w:type="dxa" w:w="60"/>
              <w:left w:type="dxa" w:w="110"/>
              <w:bottom w:type="dxa" w:w="60"/>
              <w:right w:type="dxa" w:w="110"/>
            </w:tcMar>
          </w:tcPr>
          <w:p>
            <w:pPr>
              <w:spacing w:after="0" w:before="0"/>
              <w:jc w:val="left"/>
            </w:pPr>
            <w:r>
              <w:rPr>
                <w:sz w:val="19"/>
                <w:szCs w:val="19"/>
              </w:rPr>
              <w:t xml:space="preserve">P50</w:t>
            </w:r>
          </w:p>
        </w:tc>
        <w:tc>
          <w:tcPr>
            <w:tcW w:type="dxa" w:w="1680"/>
            <w:tcMar>
              <w:top w:type="dxa" w:w="60"/>
              <w:left w:type="dxa" w:w="110"/>
              <w:bottom w:type="dxa" w:w="60"/>
              <w:right w:type="dxa" w:w="110"/>
            </w:tcMar>
          </w:tcPr>
          <w:p>
            <w:pPr>
              <w:spacing w:after="0" w:before="0"/>
              <w:jc w:val="right"/>
            </w:pPr>
            <w:r>
              <w:rPr>
                <w:b/>
                <w:bCs/>
                <w:sz w:val="19"/>
                <w:szCs w:val="19"/>
              </w:rPr>
              <w:t xml:space="preserve">0.806</w:t>
            </w:r>
          </w:p>
        </w:tc>
        <w:tc>
          <w:tcPr>
            <w:tcW w:type="dxa" w:w="1680"/>
            <w:tcMar>
              <w:top w:type="dxa" w:w="60"/>
              <w:left w:type="dxa" w:w="110"/>
              <w:bottom w:type="dxa" w:w="60"/>
              <w:right w:type="dxa" w:w="110"/>
            </w:tcMar>
          </w:tcPr>
          <w:p>
            <w:pPr>
              <w:spacing w:after="0" w:before="0"/>
              <w:jc w:val="right"/>
            </w:pPr>
            <w:r>
              <w:rPr>
                <w:sz w:val="19"/>
                <w:szCs w:val="19"/>
              </w:rPr>
              <w:t xml:space="preserve">1.519</w:t>
            </w:r>
          </w:p>
        </w:tc>
        <w:tc>
          <w:tcPr>
            <w:tcW w:type="dxa" w:w="1680"/>
            <w:tcMar>
              <w:top w:type="dxa" w:w="60"/>
              <w:left w:type="dxa" w:w="110"/>
              <w:bottom w:type="dxa" w:w="60"/>
              <w:right w:type="dxa" w:w="110"/>
            </w:tcMar>
          </w:tcPr>
          <w:p>
            <w:pPr>
              <w:spacing w:after="0" w:before="0"/>
              <w:jc w:val="left"/>
            </w:pPr>
            <w:r>
              <w:rPr>
                <w:sz w:val="19"/>
                <w:szCs w:val="19"/>
              </w:rPr>
              <w:t xml:space="preserve">QUANT</w:t>
            </w:r>
          </w:p>
        </w:tc>
        <w:tc>
          <w:tcPr>
            <w:tcW w:type="dxa" w:w="1680"/>
            <w:tcMar>
              <w:top w:type="dxa" w:w="60"/>
              <w:left w:type="dxa" w:w="110"/>
              <w:bottom w:type="dxa" w:w="60"/>
              <w:right w:type="dxa" w:w="110"/>
            </w:tcMar>
          </w:tcPr>
          <w:p>
            <w:pPr>
              <w:spacing w:after="0" w:before="0"/>
              <w:jc w:val="right"/>
            </w:pPr>
            <w:r>
              <w:rPr>
                <w:sz w:val="19"/>
                <w:szCs w:val="19"/>
              </w:rPr>
              <w:t xml:space="preserve">1.858</w:t>
            </w:r>
          </w:p>
        </w:tc>
      </w:tr>
      <w:tr>
        <w:trPr>
          <w:tblHeader w:val="false"/>
        </w:trPr>
        <w:tc>
          <w:tcPr>
            <w:tcW w:type="dxa" w:w="1680"/>
            <w:tcMar>
              <w:top w:type="dxa" w:w="60"/>
              <w:left w:type="dxa" w:w="110"/>
              <w:bottom w:type="dxa" w:w="60"/>
              <w:right w:type="dxa" w:w="110"/>
            </w:tcMar>
          </w:tcPr>
          <w:p>
            <w:pPr>
              <w:spacing w:after="0" w:before="0"/>
              <w:jc w:val="left"/>
            </w:pPr>
            <w:r>
              <w:rPr>
                <w:sz w:val="19"/>
                <w:szCs w:val="19"/>
              </w:rPr>
              <w:t xml:space="preserve">SON</w:t>
            </w:r>
          </w:p>
        </w:tc>
        <w:tc>
          <w:tcPr>
            <w:tcW w:type="dxa" w:w="1680"/>
            <w:tcMar>
              <w:top w:type="dxa" w:w="60"/>
              <w:left w:type="dxa" w:w="110"/>
              <w:bottom w:type="dxa" w:w="60"/>
              <w:right w:type="dxa" w:w="110"/>
            </w:tcMar>
          </w:tcPr>
          <w:p>
            <w:pPr>
              <w:spacing w:after="0" w:before="0"/>
              <w:jc w:val="left"/>
            </w:pPr>
            <w:r>
              <w:rPr>
                <w:sz w:val="19"/>
                <w:szCs w:val="19"/>
              </w:rPr>
              <w:t xml:space="preserve">P75</w:t>
            </w:r>
          </w:p>
        </w:tc>
        <w:tc>
          <w:tcPr>
            <w:tcW w:type="dxa" w:w="1680"/>
            <w:tcMar>
              <w:top w:type="dxa" w:w="60"/>
              <w:left w:type="dxa" w:w="110"/>
              <w:bottom w:type="dxa" w:w="60"/>
              <w:right w:type="dxa" w:w="110"/>
            </w:tcMar>
          </w:tcPr>
          <w:p>
            <w:pPr>
              <w:spacing w:after="0" w:before="0"/>
              <w:jc w:val="right"/>
            </w:pPr>
            <w:r>
              <w:rPr>
                <w:b/>
                <w:bCs/>
                <w:sz w:val="19"/>
                <w:szCs w:val="19"/>
              </w:rPr>
              <w:t xml:space="preserve">0.743</w:t>
            </w:r>
          </w:p>
        </w:tc>
        <w:tc>
          <w:tcPr>
            <w:tcW w:type="dxa" w:w="1680"/>
            <w:tcMar>
              <w:top w:type="dxa" w:w="60"/>
              <w:left w:type="dxa" w:w="110"/>
              <w:bottom w:type="dxa" w:w="60"/>
              <w:right w:type="dxa" w:w="110"/>
            </w:tcMar>
          </w:tcPr>
          <w:p>
            <w:pPr>
              <w:spacing w:after="0" w:before="0"/>
              <w:jc w:val="right"/>
            </w:pPr>
            <w:r>
              <w:rPr>
                <w:sz w:val="19"/>
                <w:szCs w:val="19"/>
              </w:rPr>
              <w:t xml:space="preserve">1.086</w:t>
            </w:r>
          </w:p>
        </w:tc>
        <w:tc>
          <w:tcPr>
            <w:tcW w:type="dxa" w:w="1680"/>
            <w:tcMar>
              <w:top w:type="dxa" w:w="60"/>
              <w:left w:type="dxa" w:w="110"/>
              <w:bottom w:type="dxa" w:w="60"/>
              <w:right w:type="dxa" w:w="110"/>
            </w:tcMar>
          </w:tcPr>
          <w:p>
            <w:pPr>
              <w:spacing w:after="0" w:before="0"/>
              <w:jc w:val="left"/>
            </w:pPr>
            <w:r>
              <w:rPr>
                <w:sz w:val="19"/>
                <w:szCs w:val="19"/>
              </w:rPr>
              <w:t xml:space="preserve">Polynomial</w:t>
            </w:r>
          </w:p>
        </w:tc>
        <w:tc>
          <w:tcPr>
            <w:tcW w:type="dxa" w:w="1680"/>
            <w:tcMar>
              <w:top w:type="dxa" w:w="60"/>
              <w:left w:type="dxa" w:w="110"/>
              <w:bottom w:type="dxa" w:w="60"/>
              <w:right w:type="dxa" w:w="110"/>
            </w:tcMar>
          </w:tcPr>
          <w:p>
            <w:pPr>
              <w:spacing w:after="0" w:before="0"/>
              <w:jc w:val="right"/>
            </w:pPr>
            <w:r>
              <w:rPr>
                <w:sz w:val="19"/>
                <w:szCs w:val="19"/>
              </w:rPr>
              <w:t xml:space="preserve">1.645</w:t>
            </w:r>
          </w:p>
        </w:tc>
      </w:tr>
      <w:tr>
        <w:trPr>
          <w:tblHeader w:val="false"/>
        </w:trPr>
        <w:tc>
          <w:tcPr>
            <w:tcW w:type="dxa" w:w="1680"/>
            <w:tcMar>
              <w:top w:type="dxa" w:w="60"/>
              <w:left w:type="dxa" w:w="110"/>
              <w:bottom w:type="dxa" w:w="60"/>
              <w:right w:type="dxa" w:w="110"/>
            </w:tcMar>
          </w:tcPr>
          <w:p>
            <w:pPr>
              <w:spacing w:after="0" w:before="0"/>
              <w:jc w:val="left"/>
            </w:pPr>
            <w:r>
              <w:rPr>
                <w:sz w:val="19"/>
                <w:szCs w:val="19"/>
              </w:rPr>
              <w:t xml:space="preserve">SON</w:t>
            </w:r>
          </w:p>
        </w:tc>
        <w:tc>
          <w:tcPr>
            <w:tcW w:type="dxa" w:w="1680"/>
            <w:tcMar>
              <w:top w:type="dxa" w:w="60"/>
              <w:left w:type="dxa" w:w="110"/>
              <w:bottom w:type="dxa" w:w="60"/>
              <w:right w:type="dxa" w:w="110"/>
            </w:tcMar>
          </w:tcPr>
          <w:p>
            <w:pPr>
              <w:spacing w:after="0" w:before="0"/>
              <w:jc w:val="left"/>
            </w:pPr>
            <w:r>
              <w:rPr>
                <w:sz w:val="19"/>
                <w:szCs w:val="19"/>
              </w:rPr>
              <w:t xml:space="preserve">P90</w:t>
            </w:r>
          </w:p>
        </w:tc>
        <w:tc>
          <w:tcPr>
            <w:tcW w:type="dxa" w:w="1680"/>
            <w:tcMar>
              <w:top w:type="dxa" w:w="60"/>
              <w:left w:type="dxa" w:w="110"/>
              <w:bottom w:type="dxa" w:w="60"/>
              <w:right w:type="dxa" w:w="110"/>
            </w:tcMar>
          </w:tcPr>
          <w:p>
            <w:pPr>
              <w:spacing w:after="0" w:before="0"/>
              <w:jc w:val="right"/>
            </w:pPr>
            <w:r>
              <w:rPr>
                <w:b/>
                <w:bCs/>
                <w:sz w:val="19"/>
                <w:szCs w:val="19"/>
              </w:rPr>
              <w:t xml:space="preserve">0.891</w:t>
            </w:r>
          </w:p>
        </w:tc>
        <w:tc>
          <w:tcPr>
            <w:tcW w:type="dxa" w:w="1680"/>
            <w:tcMar>
              <w:top w:type="dxa" w:w="60"/>
              <w:left w:type="dxa" w:w="110"/>
              <w:bottom w:type="dxa" w:w="60"/>
              <w:right w:type="dxa" w:w="110"/>
            </w:tcMar>
          </w:tcPr>
          <w:p>
            <w:pPr>
              <w:spacing w:after="0" w:before="0"/>
              <w:jc w:val="right"/>
            </w:pPr>
            <w:r>
              <w:rPr>
                <w:sz w:val="19"/>
                <w:szCs w:val="19"/>
              </w:rPr>
              <w:t xml:space="preserve">1.205</w:t>
            </w:r>
          </w:p>
        </w:tc>
        <w:tc>
          <w:tcPr>
            <w:tcW w:type="dxa" w:w="1680"/>
            <w:tcMar>
              <w:top w:type="dxa" w:w="60"/>
              <w:left w:type="dxa" w:w="110"/>
              <w:bottom w:type="dxa" w:w="60"/>
              <w:right w:type="dxa" w:w="110"/>
            </w:tcMar>
          </w:tcPr>
          <w:p>
            <w:pPr>
              <w:spacing w:after="0" w:before="0"/>
              <w:jc w:val="left"/>
            </w:pPr>
            <w:r>
              <w:rPr>
                <w:sz w:val="19"/>
                <w:szCs w:val="19"/>
              </w:rPr>
              <w:t xml:space="preserve">Polynomial</w:t>
            </w:r>
          </w:p>
        </w:tc>
        <w:tc>
          <w:tcPr>
            <w:tcW w:type="dxa" w:w="1680"/>
            <w:tcMar>
              <w:top w:type="dxa" w:w="60"/>
              <w:left w:type="dxa" w:w="110"/>
              <w:bottom w:type="dxa" w:w="60"/>
              <w:right w:type="dxa" w:w="110"/>
            </w:tcMar>
          </w:tcPr>
          <w:p>
            <w:pPr>
              <w:spacing w:after="0" w:before="0"/>
              <w:jc w:val="right"/>
            </w:pPr>
            <w:r>
              <w:rPr>
                <w:sz w:val="19"/>
                <w:szCs w:val="19"/>
              </w:rPr>
              <w:t xml:space="preserve">1.912</w:t>
            </w:r>
          </w:p>
        </w:tc>
      </w:tr>
      <w:tr>
        <w:trPr>
          <w:tblHeader w:val="false"/>
        </w:trPr>
        <w:tc>
          <w:tcPr>
            <w:tcW w:type="dxa" w:w="1680"/>
            <w:tcMar>
              <w:top w:type="dxa" w:w="60"/>
              <w:left w:type="dxa" w:w="110"/>
              <w:bottom w:type="dxa" w:w="60"/>
              <w:right w:type="dxa" w:w="110"/>
            </w:tcMar>
          </w:tcPr>
          <w:p>
            <w:pPr>
              <w:spacing w:after="0" w:before="0"/>
              <w:jc w:val="left"/>
            </w:pPr>
            <w:r>
              <w:rPr>
                <w:b/>
                <w:bCs/>
                <w:sz w:val="19"/>
                <w:szCs w:val="19"/>
              </w:rPr>
              <w:t xml:space="preserve">Mean</w:t>
            </w:r>
          </w:p>
        </w:tc>
        <w:tc>
          <w:tcPr>
            <w:tcW w:type="dxa" w:w="1680"/>
            <w:tcMar>
              <w:top w:type="dxa" w:w="60"/>
              <w:left w:type="dxa" w:w="110"/>
              <w:bottom w:type="dxa" w:w="60"/>
              <w:right w:type="dxa" w:w="110"/>
            </w:tcMar>
          </w:tcPr>
          <w:p>
            <w:pPr>
              <w:spacing w:after="0" w:before="0"/>
              <w:jc w:val="left"/>
            </w:pPr>
            <w:r>
              <w:rPr>
                <w:sz w:val="19"/>
                <w:szCs w:val="19"/>
              </w:rPr>
              <w:t xml:space="preserve"/>
            </w:r>
          </w:p>
        </w:tc>
        <w:tc>
          <w:tcPr>
            <w:tcW w:type="dxa" w:w="1680"/>
            <w:tcMar>
              <w:top w:type="dxa" w:w="60"/>
              <w:left w:type="dxa" w:w="110"/>
              <w:bottom w:type="dxa" w:w="60"/>
              <w:right w:type="dxa" w:w="110"/>
            </w:tcMar>
          </w:tcPr>
          <w:p>
            <w:pPr>
              <w:spacing w:after="0" w:before="0"/>
              <w:jc w:val="right"/>
            </w:pPr>
            <w:r>
              <w:rPr>
                <w:b/>
                <w:bCs/>
                <w:sz w:val="19"/>
                <w:szCs w:val="19"/>
              </w:rPr>
              <w:t xml:space="preserve">1.030</w:t>
            </w:r>
          </w:p>
        </w:tc>
        <w:tc>
          <w:tcPr>
            <w:tcW w:type="dxa" w:w="1680"/>
            <w:tcMar>
              <w:top w:type="dxa" w:w="60"/>
              <w:left w:type="dxa" w:w="110"/>
              <w:bottom w:type="dxa" w:w="60"/>
              <w:right w:type="dxa" w:w="110"/>
            </w:tcMar>
          </w:tcPr>
          <w:p>
            <w:pPr>
              <w:spacing w:after="0" w:before="0"/>
              <w:jc w:val="right"/>
            </w:pPr>
            <w:r>
              <w:rPr>
                <w:b/>
                <w:bCs/>
                <w:sz w:val="19"/>
                <w:szCs w:val="19"/>
              </w:rPr>
              <w:t xml:space="preserve">1.337</w:t>
            </w:r>
          </w:p>
        </w:tc>
        <w:tc>
          <w:tcPr>
            <w:tcW w:type="dxa" w:w="1680"/>
            <w:tcMar>
              <w:top w:type="dxa" w:w="60"/>
              <w:left w:type="dxa" w:w="110"/>
              <w:bottom w:type="dxa" w:w="60"/>
              <w:right w:type="dxa" w:w="110"/>
            </w:tcMar>
          </w:tcPr>
          <w:p>
            <w:pPr>
              <w:spacing w:after="0" w:before="0"/>
              <w:jc w:val="left"/>
            </w:pPr>
            <w:r>
              <w:rPr>
                <w:sz w:val="19"/>
                <w:szCs w:val="19"/>
              </w:rPr>
              <w:t xml:space="preserve"/>
            </w:r>
          </w:p>
        </w:tc>
        <w:tc>
          <w:tcPr>
            <w:tcW w:type="dxa" w:w="1680"/>
            <w:tcMar>
              <w:top w:type="dxa" w:w="60"/>
              <w:left w:type="dxa" w:w="110"/>
              <w:bottom w:type="dxa" w:w="60"/>
              <w:right w:type="dxa" w:w="110"/>
            </w:tcMar>
          </w:tcPr>
          <w:p>
            <w:pPr>
              <w:spacing w:after="0" w:before="0"/>
              <w:jc w:val="right"/>
            </w:pPr>
            <w:r>
              <w:rPr>
                <w:b/>
                <w:bCs/>
                <w:sz w:val="19"/>
                <w:szCs w:val="19"/>
              </w:rPr>
              <w:t xml:space="preserve">2.132</w:t>
            </w:r>
          </w:p>
        </w:tc>
      </w:tr>
    </w:tbl>
    <w:p>
      <w:pPr>
        <w:spacing w:after="100"/>
      </w:pPr>
    </w:p>
    <w:p>
      <w:pPr>
        <w:spacing w:after="200" w:before="60"/>
      </w:pPr>
      <w:r>
        <w:rPr>
          <w:b/>
          <w:bCs/>
          <w:color w:val="5A6A73"/>
          <w:sz w:val="18"/>
          <w:szCs w:val="18"/>
        </w:rPr>
        <w:t xml:space="preserve">Table 10.</w:t>
      </w:r>
      <w:r>
        <w:rPr>
          <w:color w:val="5A6A73"/>
          <w:sz w:val="18"/>
          <w:szCs w:val="18"/>
        </w:rPr>
        <w:t xml:space="preserve"> Mean MAE in °C for the climatology benchmark, the best transform in each cell, and no correction. "Climatology" predicts the mean of the other nine years' observed percentile at that pixel and uses no model input. "Best transform" is the lowest MAE among the six in that cell, with the method named. Bold marks the lower of climatology and the best transform. Averaged over every land pixel and every held-out fold, as elsewhere.</w:t>
      </w:r>
    </w:p>
    <w:p>
      <w:pPr>
        <w:spacing w:after="120" w:before="60"/>
        <w:jc w:val="left"/>
      </w:pPr>
      <w:r>
        <w:rPr>
          <w:sz w:val="21"/>
          <w:szCs w:val="21"/>
        </w:rPr>
        <w:t xml:space="preserve">Climatology has the lower MAE in </w:t>
      </w:r>
      <w:r>
        <w:rPr>
          <w:b/>
          <w:bCs/>
          <w:sz w:val="21"/>
          <w:szCs w:val="21"/>
        </w:rPr>
        <w:t xml:space="preserve">all 20 cells</w:t>
      </w:r>
      <w:r>
        <w:rPr>
          <w:sz w:val="21"/>
          <w:szCs w:val="21"/>
        </w:rPr>
        <w:t xml:space="preserve">. The gap is widest at SON P50, 0.806 against 1.519 °C, and at MAM P75, 1.041 against 1.675 °C. It is narrowest in summer: at JJA P50 the two are 0.577 and 0.589 °C, effectively equal. Both predictors beat no correction everywhere.</w:t>
      </w:r>
    </w:p>
    <w:p>
      <w:pPr>
        <w:spacing w:after="120" w:before="60"/>
        <w:jc w:val="left"/>
      </w:pPr>
      <w:r>
        <w:rPr>
          <w:sz w:val="21"/>
          <w:szCs w:val="21"/>
        </w:rPr>
        <w:t xml:space="preserve">This is not a failure of the transforms. They reproduce the observed year-to-year spread almost exactly — the standard deviation of the corrected percentile across years is 1.184 °C against 1.183 °C observed, a ratio of 1.00. But a prediction with the correct variance and no correlation to the truth has an error variance of twice the observed variance, so its RMSE is </w:t>
      </w:r>
      <w:r>
        <w:rPr>
          <w:rFonts w:ascii="Consolas" w:cs="Consolas" w:eastAsia="Consolas" w:hAnsi="Consolas"/>
          <w:sz w:val="19"/>
          <w:szCs w:val="19"/>
        </w:rPr>
        <w:t xml:space="preserve">σ√2 = 1.673 °C</w:t>
      </w:r>
      <w:r>
        <w:rPr>
          <w:sz w:val="21"/>
          <w:szCs w:val="21"/>
        </w:rPr>
        <w:t xml:space="preserve">; the measured value is 1.692 °C. A climatological prediction instead varies hardly at all, giving </w:t>
      </w:r>
      <w:r>
        <w:rPr>
          <w:rFonts w:ascii="Consolas" w:cs="Consolas" w:eastAsia="Consolas" w:hAnsi="Consolas"/>
          <w:sz w:val="19"/>
          <w:szCs w:val="19"/>
        </w:rPr>
        <w:t xml:space="preserve">σ√(1 + 1/K) = 1.247 °C</w:t>
      </w:r>
      <w:r>
        <w:rPr>
          <w:sz w:val="21"/>
          <w:szCs w:val="21"/>
        </w:rPr>
        <w:t xml:space="preserve"> for K = 9 training years against a measured 1.298 °C. The transforms are penalised for succeeding at the thing they are designed to do.</w:t>
      </w:r>
    </w:p>
    <w:p>
      <w:pPr>
        <w:spacing w:after="120" w:before="60"/>
        <w:jc w:val="left"/>
      </w:pPr>
      <w:r>
        <w:rPr>
          <w:b/>
          <w:bCs/>
          <w:sz w:val="21"/>
          <w:szCs w:val="21"/>
        </w:rPr>
        <w:t xml:space="preserve">This is not a sample-size effect.</w:t>
      </w:r>
      <w:r>
        <w:rPr>
          <w:sz w:val="21"/>
          <w:szCs w:val="21"/>
        </w:rPr>
        <w:t xml:space="preserve"> The </w:t>
      </w:r>
      <w:r>
        <w:rPr>
          <w:rFonts w:ascii="Consolas" w:cs="Consolas" w:eastAsia="Consolas" w:hAnsi="Consolas"/>
          <w:sz w:val="19"/>
          <w:szCs w:val="19"/>
        </w:rPr>
        <w:t xml:space="preserve">√2</w:t>
      </w:r>
      <w:r>
        <w:rPr>
          <w:sz w:val="21"/>
          <w:szCs w:val="21"/>
        </w:rPr>
        <w:t xml:space="preserve"> term does not depend on the record length, while the climatology term shrinks slowly towards </w:t>
      </w:r>
      <w:r>
        <w:rPr>
          <w:rFonts w:ascii="Consolas" w:cs="Consolas" w:eastAsia="Consolas" w:hAnsi="Consolas"/>
          <w:sz w:val="19"/>
          <w:szCs w:val="19"/>
        </w:rPr>
        <w:t xml:space="preserve">σ</w:t>
      </w:r>
      <w:r>
        <w:rPr>
          <w:sz w:val="21"/>
          <w:szCs w:val="21"/>
        </w:rPr>
        <w:t xml:space="preserve">. The predicted ratio of the two is 1.342 at K = 9, 1.386 at K = 24, and 1.414 in the limit, against 1.303 measured here. Extending the record to 25 years would therefore widen the gap slightly rather than close it. The correlation estimates are individually noisy at ten years — the standard error of a correlation from ten points is about 0.38 — but the variance decomposition does not depend on estimating them, and it accounts for the observed gap on its own.</w:t>
      </w:r>
    </w:p>
    <w:p>
      <w:pPr>
        <w:spacing w:after="120" w:before="60"/>
        <w:jc w:val="left"/>
      </w:pPr>
      <w:r>
        <w:rPr>
          <w:sz w:val="21"/>
          <w:szCs w:val="21"/>
        </w:rPr>
        <w:t xml:space="preserve">What it does indicate is that a year-specific target is the wrong one for this method. Quantile mapping is built to make a corrected series carry the right distribution, not to say which year was which. Measured against the target used here, ignoring the model is the better strategy, and no choice of transform changes that. A distribution-level evaluation — pooling the held-out years and comparing the pooled corrected distribution against the pooled observed one — would test what the method is for. That evaluation has not been run.</w:t>
      </w:r>
    </w:p>
    <w:p>
      <w:pPr>
        <w:pStyle w:val="Heading2"/>
        <w:spacing w:after="120" w:before="260"/>
        <w:outlineLvl w:val="2"/>
      </w:pPr>
      <w:r>
        <w:t xml:space="preserve">Next steps</w:t>
      </w:r>
    </w:p>
    <w:p>
      <w:pPr>
        <w:pStyle w:val="ListParagraph"/>
        <w:numPr>
          <w:ilvl w:val="0"/>
          <w:numId w:val="2"/>
        </w:numPr>
        <w:spacing w:after="40" w:before="40"/>
      </w:pPr>
      <w:r>
        <w:rPr>
          <w:b/>
          <w:bCs/>
          <w:sz w:val="21"/>
          <w:szCs w:val="21"/>
        </w:rPr>
        <w:t xml:space="preserve">Train/test split.</w:t>
      </w:r>
      <w:r>
        <w:rPr>
          <w:sz w:val="21"/>
          <w:szCs w:val="21"/>
        </w:rPr>
        <w:t xml:space="preserve"> Cross-validation measures sampling error, not transferability. The 1980–2004 training period with 2005–2014 and 2015–2025 test periods is required to test whether a transform holds under a changed climate.</w:t>
      </w:r>
    </w:p>
    <w:p>
      <w:pPr>
        <w:pStyle w:val="ListParagraph"/>
        <w:numPr>
          <w:ilvl w:val="0"/>
          <w:numId w:val="2"/>
        </w:numPr>
        <w:spacing w:after="40" w:before="40"/>
      </w:pPr>
      <w:r>
        <w:rPr>
          <w:b/>
          <w:bCs/>
          <w:sz w:val="21"/>
          <w:szCs w:val="21"/>
        </w:rPr>
        <w:t xml:space="preserve">A trend-preserving variant before any projection.</w:t>
      </w:r>
      <w:r>
        <w:rPr>
          <w:sz w:val="21"/>
          <w:szCs w:val="21"/>
        </w:rPr>
        <w:t xml:space="preserve"> Plain quantile mapping builds its transfer function from the historical period alone. Cannon et al. (2015) report relative changes in 20-year return values exceeding +1500 % under plain QM against +120 % in the raw model. The 19.54 % extrapolation rate measured here is the same mechanism inside a stationary decade. QDM in additive form is the minimal upgrade; Switanek et al. (2017) give an explicit temperature algorithm.</w:t>
      </w:r>
    </w:p>
    <w:p>
      <w:pPr>
        <w:pStyle w:val="ListParagraph"/>
        <w:numPr>
          <w:ilvl w:val="0"/>
          <w:numId w:val="2"/>
        </w:numPr>
        <w:spacing w:after="40" w:before="40"/>
      </w:pPr>
      <w:r>
        <w:rPr>
          <w:b/>
          <w:bCs/>
          <w:sz w:val="21"/>
          <w:szCs w:val="21"/>
        </w:rPr>
        <w:t xml:space="preserve">Month rather than season</w:t>
      </w:r>
      <w:r>
        <w:rPr>
          <w:sz w:val="21"/>
          <w:szCs w:val="21"/>
        </w:rPr>
        <w:t xml:space="preserve">, once 25 years of training data are available.</w:t>
      </w:r>
    </w:p>
    <w:p>
      <w:pPr>
        <w:pStyle w:val="ListParagraph"/>
        <w:numPr>
          <w:ilvl w:val="0"/>
          <w:numId w:val="2"/>
        </w:numPr>
        <w:spacing w:after="40" w:before="40"/>
      </w:pPr>
      <w:r>
        <w:rPr>
          <w:b/>
          <w:bCs/>
          <w:sz w:val="21"/>
          <w:szCs w:val="21"/>
        </w:rPr>
        <w:t xml:space="preserve">Deliberate shrinkage towards climatology.</w:t>
      </w:r>
      <w:r>
        <w:rPr>
          <w:sz w:val="21"/>
          <w:szCs w:val="21"/>
        </w:rPr>
        <w:t xml:space="preserve"> Where the year-to-year spread is large, a correction weighted towards the climatological percentile in proportion to that spread may outperform one that tracks the model. SON P5 is where this would matter most.</w:t>
      </w:r>
    </w:p>
    <w:p>
      <w:pPr>
        <w:pStyle w:val="ListParagraph"/>
        <w:numPr>
          <w:ilvl w:val="0"/>
          <w:numId w:val="2"/>
        </w:numPr>
        <w:spacing w:after="40" w:before="40"/>
      </w:pPr>
      <w:r>
        <w:rPr>
          <w:b/>
          <w:bCs/>
          <w:sz w:val="21"/>
          <w:szCs w:val="21"/>
        </w:rPr>
        <w:t xml:space="preserve">A distribution-level evaluation, and a climatology row in the tables.</w:t>
      </w:r>
      <w:r>
        <w:rPr>
          <w:sz w:val="21"/>
          <w:szCs w:val="21"/>
        </w:rPr>
        <w:t xml:space="preserve"> Pool the held-out years and compare the pooled corrected distribution against the pooled observed one, which is the target quantile mapping is designed for. Report the climatology benchmark alongside the transforms, since it is the predictor any method has to beat on a year-specific target.</w:t>
      </w:r>
    </w:p>
    <w:p>
      <w:pPr>
        <w:pStyle w:val="ListParagraph"/>
        <w:numPr>
          <w:ilvl w:val="0"/>
          <w:numId w:val="2"/>
        </w:numPr>
        <w:spacing w:after="40" w:before="40"/>
      </w:pPr>
      <w:r>
        <w:rPr>
          <w:b/>
          <w:bCs/>
          <w:sz w:val="21"/>
          <w:szCs w:val="21"/>
        </w:rPr>
        <w:t xml:space="preserve">Repeat this comparison on the full data set.</w:t>
      </w:r>
      <w:r>
        <w:rPr>
          <w:sz w:val="21"/>
          <w:szCs w:val="21"/>
        </w:rPr>
        <w:t xml:space="preserve"> The 1980–2004 training period, the 2005–2014 and 2015–2025 test periods and the full Mediterranean basin (24–47°N, 11°W–40°E) give 25 calibration years instead of 10 and roughly six times the domain. Both limits identified here — the short calibration record and the flatness of the comparison between methods — are properties of the present sample, so the ranking should not be treated as settled until it has been re-run at that scale. Choosing a method to carry forward is a decision for after that run, not before it.</w:t>
      </w:r>
    </w:p>
    <w:p>
      <w:pPr>
        <w:spacing w:after="60" w:before="200"/>
      </w:pPr>
      <w:r>
        <w:rPr>
          <w:b/>
          <w:bCs/>
          <w:sz w:val="19"/>
          <w:szCs w:val="19"/>
        </w:rPr>
        <w:t xml:space="preserve">Note on the node count</w:t>
      </w:r>
    </w:p>
    <w:p>
      <w:pPr>
        <w:spacing w:after="120"/>
        <w:ind w:left="240"/>
      </w:pPr>
      <w:r>
        <w:rPr>
          <w:color w:val="5A6A73"/>
          <w:sz w:val="18"/>
          <w:szCs w:val="18"/>
        </w:rPr>
        <w:t xml:space="preserve">The split follows the </w:t>
      </w:r>
      <w:r>
        <w:rPr>
          <w:rFonts w:ascii="Consolas" w:cs="Consolas" w:eastAsia="Consolas" w:hAnsi="Consolas"/>
          <w:color w:val="5A6A73"/>
          <w:sz w:val="19"/>
          <w:szCs w:val="19"/>
        </w:rPr>
        <w:t xml:space="preserve">qmap</w:t>
      </w:r>
      <w:r>
        <w:rPr>
          <w:color w:val="5A6A73"/>
          <w:sz w:val="18"/>
          <w:szCs w:val="18"/>
        </w:rPr>
        <w:t xml:space="preserve"> R package (Gudmundsson 2016), which accompanies Gudmundsson et al. (2012) and implements the same six methods. Its </w:t>
      </w:r>
      <w:r>
        <w:rPr>
          <w:rFonts w:ascii="Consolas" w:cs="Consolas" w:eastAsia="Consolas" w:hAnsi="Consolas"/>
          <w:color w:val="5A6A73"/>
          <w:sz w:val="19"/>
          <w:szCs w:val="19"/>
        </w:rPr>
        <w:t xml:space="preserve">qstep</w:t>
      </w:r>
      <w:r>
        <w:rPr>
          <w:color w:val="5A6A73"/>
          <w:sz w:val="18"/>
          <w:szCs w:val="18"/>
        </w:rPr>
        <w:t xml:space="preserve"> argument controls the reduction: the observed and modelled series are "aggregated to quantiles before model identification as </w:t>
      </w:r>
      <w:r>
        <w:rPr>
          <w:rFonts w:ascii="Consolas" w:cs="Consolas" w:eastAsia="Consolas" w:hAnsi="Consolas"/>
          <w:color w:val="5A6A73"/>
          <w:sz w:val="19"/>
          <w:szCs w:val="19"/>
        </w:rPr>
        <w:t xml:space="preserve">quantile(x, probs = seq(0, 1, by = qstep))</w:t>
      </w:r>
      <w:r>
        <w:rPr>
          <w:color w:val="5A6A73"/>
          <w:sz w:val="18"/>
          <w:szCs w:val="18"/>
        </w:rPr>
        <w:t xml:space="preserve">". </w:t>
      </w:r>
      <w:r>
        <w:rPr>
          <w:rFonts w:ascii="Consolas" w:cs="Consolas" w:eastAsia="Consolas" w:hAnsi="Consolas"/>
          <w:color w:val="5A6A73"/>
          <w:sz w:val="19"/>
          <w:szCs w:val="19"/>
        </w:rPr>
        <w:t xml:space="preserve">fitQmapDIST</w:t>
      </w:r>
      <w:r>
        <w:rPr>
          <w:color w:val="5A6A73"/>
          <w:sz w:val="18"/>
          <w:szCs w:val="18"/>
        </w:rPr>
        <w:t xml:space="preserve"> and </w:t>
      </w:r>
      <w:r>
        <w:rPr>
          <w:rFonts w:ascii="Consolas" w:cs="Consolas" w:eastAsia="Consolas" w:hAnsi="Consolas"/>
          <w:color w:val="5A6A73"/>
          <w:sz w:val="19"/>
          <w:szCs w:val="19"/>
        </w:rPr>
        <w:t xml:space="preserve">fitQmapPTF</w:t>
      </w:r>
      <w:r>
        <w:rPr>
          <w:color w:val="5A6A73"/>
          <w:sz w:val="18"/>
          <w:szCs w:val="18"/>
        </w:rPr>
        <w:t xml:space="preserve">, the distribution-derived and parametric fitters, default to </w:t>
      </w:r>
      <w:r>
        <w:rPr>
          <w:rFonts w:ascii="Consolas" w:cs="Consolas" w:eastAsia="Consolas" w:hAnsi="Consolas"/>
          <w:color w:val="5A6A73"/>
          <w:sz w:val="19"/>
          <w:szCs w:val="19"/>
        </w:rPr>
        <w:t xml:space="preserve">qstep = NULL</w:t>
      </w:r>
      <w:r>
        <w:rPr>
          <w:color w:val="5A6A73"/>
          <w:sz w:val="18"/>
          <w:szCs w:val="18"/>
        </w:rPr>
        <w:t xml:space="preserve">, meaning every data point. </w:t>
      </w:r>
      <w:r>
        <w:rPr>
          <w:rFonts w:ascii="Consolas" w:cs="Consolas" w:eastAsia="Consolas" w:hAnsi="Consolas"/>
          <w:color w:val="5A6A73"/>
          <w:sz w:val="19"/>
          <w:szCs w:val="19"/>
        </w:rPr>
        <w:t xml:space="preserve">fitQmapQUANT</w:t>
      </w:r>
      <w:r>
        <w:rPr>
          <w:color w:val="5A6A73"/>
          <w:sz w:val="18"/>
          <w:szCs w:val="18"/>
        </w:rPr>
        <w:t xml:space="preserve">, </w:t>
      </w:r>
      <w:r>
        <w:rPr>
          <w:rFonts w:ascii="Consolas" w:cs="Consolas" w:eastAsia="Consolas" w:hAnsi="Consolas"/>
          <w:color w:val="5A6A73"/>
          <w:sz w:val="19"/>
          <w:szCs w:val="19"/>
        </w:rPr>
        <w:t xml:space="preserve">fitQmapRQUANT</w:t>
      </w:r>
      <w:r>
        <w:rPr>
          <w:color w:val="5A6A73"/>
          <w:sz w:val="18"/>
          <w:szCs w:val="18"/>
        </w:rPr>
        <w:t xml:space="preserve"> and </w:t>
      </w:r>
      <w:r>
        <w:rPr>
          <w:rFonts w:ascii="Consolas" w:cs="Consolas" w:eastAsia="Consolas" w:hAnsi="Consolas"/>
          <w:color w:val="5A6A73"/>
          <w:sz w:val="19"/>
          <w:szCs w:val="19"/>
        </w:rPr>
        <w:t xml:space="preserve">fitQmapSSPLIN</w:t>
      </w:r>
      <w:r>
        <w:rPr>
          <w:color w:val="5A6A73"/>
          <w:sz w:val="18"/>
          <w:szCs w:val="18"/>
        </w:rPr>
        <w:t xml:space="preserve"> default to </w:t>
      </w:r>
      <w:r>
        <w:rPr>
          <w:rFonts w:ascii="Consolas" w:cs="Consolas" w:eastAsia="Consolas" w:hAnsi="Consolas"/>
          <w:color w:val="5A6A73"/>
          <w:sz w:val="19"/>
          <w:szCs w:val="19"/>
        </w:rPr>
        <w:t xml:space="preserve">qstep = 0.01</w:t>
      </w:r>
      <w:r>
        <w:rPr>
          <w:color w:val="5A6A73"/>
          <w:sz w:val="18"/>
          <w:szCs w:val="18"/>
        </w:rPr>
        <w:t xml:space="preserve">, a 101-point table, and every worked example in the manual uses that value. The manual notes the reduction "effectively reduces the sample-size and can be used to speedup computations - but may render estimates less reliable". We measured that on 641 pixels across all four seasons, refitting each method at 99, 199, 399 and 720 nodes, where 720 is every training day of the shortest season. MAE changed by at most </w:t>
      </w:r>
      <w:r>
        <w:rPr>
          <w:b/>
          <w:bCs/>
          <w:color w:val="5A6A73"/>
          <w:sz w:val="18"/>
          <w:szCs w:val="18"/>
        </w:rPr>
        <w:t xml:space="preserve">0.003 °C</w:t>
      </w:r>
      <w:r>
        <w:rPr>
          <w:color w:val="5A6A73"/>
          <w:sz w:val="18"/>
          <w:szCs w:val="18"/>
        </w:rPr>
        <w:t xml:space="preserve"> against errors of 1.37 °C and a climatology floor of 0.89 °C. For RQUANT and SSPLIN the fuller sample was very slightly </w:t>
      </w:r>
      <w:r>
        <w:rPr>
          <w:i/>
          <w:iCs/>
          <w:color w:val="5A6A73"/>
          <w:sz w:val="18"/>
          <w:szCs w:val="18"/>
        </w:rPr>
        <w:t xml:space="preserve">worse</w:t>
      </w:r>
      <w:r>
        <w:rPr>
          <w:color w:val="5A6A73"/>
          <w:sz w:val="18"/>
          <w:szCs w:val="18"/>
        </w:rPr>
        <w:t xml:space="preserve"> — a finer table gives a smoother more noise to follow — while Normal was unchanged to five decimals, since its moments come from the raw days regardless. The cost is asymmetric: the smoothing spline is about five times slower on raw days.</w:t>
      </w:r>
    </w:p>
    <w:p>
      <w:pPr>
        <w:pBdr>
          <w:bottom w:val="single" w:color="D5DBDE" w:sz="6"/>
        </w:pBdr>
        <w:spacing w:after="120" w:before="120"/>
      </w:pPr>
    </w:p>
    <w:p>
      <w:pPr>
        <w:pStyle w:val="Heading1"/>
        <w:spacing w:after="120" w:before="260"/>
        <w:outlineLvl w:val="1"/>
      </w:pPr>
      <w:r>
        <w:t xml:space="preserve">References</w:t>
      </w:r>
    </w:p>
    <w:p>
      <w:pPr>
        <w:pStyle w:val="ListParagraph"/>
        <w:numPr>
          <w:ilvl w:val="0"/>
          <w:numId w:val="1"/>
        </w:numPr>
        <w:spacing w:after="40" w:before="40"/>
      </w:pPr>
      <w:r>
        <w:rPr>
          <w:b/>
          <w:bCs/>
          <w:sz w:val="21"/>
          <w:szCs w:val="21"/>
        </w:rPr>
        <w:t xml:space="preserve">Boé, J., Terray, L., Habets, F., Martin, E. (2007).</w:t>
      </w:r>
      <w:r>
        <w:rPr>
          <w:sz w:val="21"/>
          <w:szCs w:val="21"/>
        </w:rPr>
        <w:t xml:space="preserve"> Statistical and dynamical downscaling of the Seine basin climate for hydro-meteorological studies. </w:t>
      </w:r>
      <w:r>
        <w:rPr>
          <w:i/>
          <w:iCs/>
          <w:sz w:val="21"/>
          <w:szCs w:val="21"/>
        </w:rPr>
        <w:t xml:space="preserve">International Journal of Climatology</w:t>
      </w:r>
      <w:r>
        <w:rPr>
          <w:sz w:val="21"/>
          <w:szCs w:val="21"/>
        </w:rPr>
        <w:t xml:space="preserve">, 27, 1643–1655.</w:t>
      </w:r>
    </w:p>
    <w:p>
      <w:pPr>
        <w:pStyle w:val="ListParagraph"/>
        <w:numPr>
          <w:ilvl w:val="0"/>
          <w:numId w:val="1"/>
        </w:numPr>
        <w:spacing w:after="40" w:before="40"/>
      </w:pPr>
      <w:r>
        <w:rPr>
          <w:b/>
          <w:bCs/>
          <w:sz w:val="21"/>
          <w:szCs w:val="21"/>
        </w:rPr>
        <w:t xml:space="preserve">Cannon, A. J., Sobie, S. R., Murdock, T. Q. (2015).</w:t>
      </w:r>
      <w:r>
        <w:rPr>
          <w:sz w:val="21"/>
          <w:szCs w:val="21"/>
        </w:rPr>
        <w:t xml:space="preserve"> Bias correction of GCM precipitation by quantile mapping: how well do methods preserve changes in quantiles and extremes? </w:t>
      </w:r>
      <w:r>
        <w:rPr>
          <w:i/>
          <w:iCs/>
          <w:sz w:val="21"/>
          <w:szCs w:val="21"/>
        </w:rPr>
        <w:t xml:space="preserve">Journal of Climate</w:t>
      </w:r>
      <w:r>
        <w:rPr>
          <w:sz w:val="21"/>
          <w:szCs w:val="21"/>
        </w:rPr>
        <w:t xml:space="preserve">, 28, 6938–6959.</w:t>
      </w:r>
    </w:p>
    <w:p>
      <w:pPr>
        <w:pStyle w:val="ListParagraph"/>
        <w:numPr>
          <w:ilvl w:val="0"/>
          <w:numId w:val="1"/>
        </w:numPr>
        <w:spacing w:after="40" w:before="40"/>
      </w:pPr>
      <w:r>
        <w:rPr>
          <w:b/>
          <w:bCs/>
          <w:sz w:val="21"/>
          <w:szCs w:val="21"/>
        </w:rPr>
        <w:t xml:space="preserve">Déqué, M. (2007).</w:t>
      </w:r>
      <w:r>
        <w:rPr>
          <w:sz w:val="21"/>
          <w:szCs w:val="21"/>
        </w:rPr>
        <w:t xml:space="preserve"> Frequency of precipitation and temperature extremes over France in an anthropogenic scenario. </w:t>
      </w:r>
      <w:r>
        <w:rPr>
          <w:i/>
          <w:iCs/>
          <w:sz w:val="21"/>
          <w:szCs w:val="21"/>
        </w:rPr>
        <w:t xml:space="preserve">Global and Planetary Change</w:t>
      </w:r>
      <w:r>
        <w:rPr>
          <w:sz w:val="21"/>
          <w:szCs w:val="21"/>
        </w:rPr>
        <w:t xml:space="preserve">, 57, 16–26.</w:t>
      </w:r>
    </w:p>
    <w:p>
      <w:pPr>
        <w:pStyle w:val="ListParagraph"/>
        <w:numPr>
          <w:ilvl w:val="0"/>
          <w:numId w:val="1"/>
        </w:numPr>
        <w:spacing w:after="40" w:before="40"/>
      </w:pPr>
      <w:r>
        <w:rPr>
          <w:b/>
          <w:bCs/>
          <w:sz w:val="21"/>
          <w:szCs w:val="21"/>
        </w:rPr>
        <w:t xml:space="preserve">Gudmundsson, L., Bremnes, J. B., Haugen, J. E., Engen-Skaugen, T. (2012).</w:t>
      </w:r>
      <w:r>
        <w:rPr>
          <w:sz w:val="21"/>
          <w:szCs w:val="21"/>
        </w:rPr>
        <w:t xml:space="preserve"> Technical Note: Downscaling RCM precipitation to the station scale using statistical transformations — a comparison of methods. </w:t>
      </w:r>
      <w:r>
        <w:rPr>
          <w:i/>
          <w:iCs/>
          <w:sz w:val="21"/>
          <w:szCs w:val="21"/>
        </w:rPr>
        <w:t xml:space="preserve">Hydrology and Earth System Sciences</w:t>
      </w:r>
      <w:r>
        <w:rPr>
          <w:sz w:val="21"/>
          <w:szCs w:val="21"/>
        </w:rPr>
        <w:t xml:space="preserve">, 16, 3383–3390.</w:t>
      </w:r>
    </w:p>
    <w:p>
      <w:pPr>
        <w:pStyle w:val="ListParagraph"/>
        <w:numPr>
          <w:ilvl w:val="0"/>
          <w:numId w:val="1"/>
        </w:numPr>
        <w:spacing w:after="40" w:before="40"/>
      </w:pPr>
      <w:r>
        <w:rPr>
          <w:b/>
          <w:bCs/>
          <w:sz w:val="21"/>
          <w:szCs w:val="21"/>
        </w:rPr>
        <w:t xml:space="preserve">Gudmundsson, L. (2016).</w:t>
      </w:r>
      <w:r>
        <w:rPr>
          <w:sz w:val="21"/>
          <w:szCs w:val="21"/>
        </w:rPr>
        <w:t xml:space="preserve"> </w:t>
      </w:r>
      <w:r>
        <w:rPr>
          <w:rFonts w:ascii="Consolas" w:cs="Consolas" w:eastAsia="Consolas" w:hAnsi="Consolas"/>
          <w:sz w:val="19"/>
          <w:szCs w:val="19"/>
        </w:rPr>
        <w:t xml:space="preserve">qmap</w:t>
      </w:r>
      <w:r>
        <w:rPr>
          <w:sz w:val="21"/>
          <w:szCs w:val="21"/>
        </w:rPr>
        <w:t xml:space="preserve">: Statistical Transformations for Post-Processing Climate Model Output. R package version 1.0-4. The reference implementation of the six methods compared here.</w:t>
      </w:r>
    </w:p>
    <w:p>
      <w:pPr>
        <w:pStyle w:val="ListParagraph"/>
        <w:numPr>
          <w:ilvl w:val="0"/>
          <w:numId w:val="1"/>
        </w:numPr>
        <w:spacing w:after="40" w:before="40"/>
      </w:pPr>
      <w:r>
        <w:rPr>
          <w:b/>
          <w:bCs/>
          <w:sz w:val="21"/>
          <w:szCs w:val="21"/>
        </w:rPr>
        <w:t xml:space="preserve">Lange, S. (2019).</w:t>
      </w:r>
      <w:r>
        <w:rPr>
          <w:sz w:val="21"/>
          <w:szCs w:val="21"/>
        </w:rPr>
        <w:t xml:space="preserve"> Trend-preserving bias adjustment and statistical downscaling with ISIMIP3BASD (v1.0). </w:t>
      </w:r>
      <w:r>
        <w:rPr>
          <w:i/>
          <w:iCs/>
          <w:sz w:val="21"/>
          <w:szCs w:val="21"/>
        </w:rPr>
        <w:t xml:space="preserve">Geoscientific Model Development</w:t>
      </w:r>
      <w:r>
        <w:rPr>
          <w:sz w:val="21"/>
          <w:szCs w:val="21"/>
        </w:rPr>
        <w:t xml:space="preserve">, 12, 3055–3070.</w:t>
      </w:r>
    </w:p>
    <w:p>
      <w:pPr>
        <w:pStyle w:val="ListParagraph"/>
        <w:numPr>
          <w:ilvl w:val="0"/>
          <w:numId w:val="1"/>
        </w:numPr>
        <w:spacing w:after="40" w:before="40"/>
      </w:pPr>
      <w:r>
        <w:rPr>
          <w:b/>
          <w:bCs/>
          <w:sz w:val="21"/>
          <w:szCs w:val="21"/>
        </w:rPr>
        <w:t xml:space="preserve">Lehner, F., Nadeem, I., Formayer, H. (2023).</w:t>
      </w:r>
      <w:r>
        <w:rPr>
          <w:sz w:val="21"/>
          <w:szCs w:val="21"/>
        </w:rPr>
        <w:t xml:space="preserve"> Evaluating skills and issues of quantile-based bias adjustment for climate change scenarios. </w:t>
      </w:r>
      <w:r>
        <w:rPr>
          <w:i/>
          <w:iCs/>
          <w:sz w:val="21"/>
          <w:szCs w:val="21"/>
        </w:rPr>
        <w:t xml:space="preserve">Advances in Statistical Climatology, Meteorology and Oceanography</w:t>
      </w:r>
      <w:r>
        <w:rPr>
          <w:sz w:val="21"/>
          <w:szCs w:val="21"/>
        </w:rPr>
        <w:t xml:space="preserve">, 9, 29–44.</w:t>
      </w:r>
    </w:p>
    <w:p>
      <w:pPr>
        <w:pStyle w:val="ListParagraph"/>
        <w:numPr>
          <w:ilvl w:val="0"/>
          <w:numId w:val="1"/>
        </w:numPr>
        <w:spacing w:after="40" w:before="40"/>
      </w:pPr>
      <w:r>
        <w:rPr>
          <w:b/>
          <w:bCs/>
          <w:sz w:val="21"/>
          <w:szCs w:val="21"/>
        </w:rPr>
        <w:t xml:space="preserve">Maraun, D. (2013).</w:t>
      </w:r>
      <w:r>
        <w:rPr>
          <w:sz w:val="21"/>
          <w:szCs w:val="21"/>
        </w:rPr>
        <w:t xml:space="preserve"> Bias correction, quantile mapping, and downscaling: revisiting the inflation issue. </w:t>
      </w:r>
      <w:r>
        <w:rPr>
          <w:i/>
          <w:iCs/>
          <w:sz w:val="21"/>
          <w:szCs w:val="21"/>
        </w:rPr>
        <w:t xml:space="preserve">Journal of Climate</w:t>
      </w:r>
      <w:r>
        <w:rPr>
          <w:sz w:val="21"/>
          <w:szCs w:val="21"/>
        </w:rPr>
        <w:t xml:space="preserve">, 26, 2137–2143.</w:t>
      </w:r>
    </w:p>
    <w:p>
      <w:pPr>
        <w:pStyle w:val="ListParagraph"/>
        <w:numPr>
          <w:ilvl w:val="0"/>
          <w:numId w:val="1"/>
        </w:numPr>
        <w:spacing w:after="40" w:before="40"/>
      </w:pPr>
      <w:r>
        <w:rPr>
          <w:b/>
          <w:bCs/>
          <w:sz w:val="21"/>
          <w:szCs w:val="21"/>
        </w:rPr>
        <w:t xml:space="preserve">Muñoz-Sabater, J., et al. (2021).</w:t>
      </w:r>
      <w:r>
        <w:rPr>
          <w:sz w:val="21"/>
          <w:szCs w:val="21"/>
        </w:rPr>
        <w:t xml:space="preserve"> ERA5-Land: a state-of-the-art global reanalysis dataset for land applications. </w:t>
      </w:r>
      <w:r>
        <w:rPr>
          <w:i/>
          <w:iCs/>
          <w:sz w:val="21"/>
          <w:szCs w:val="21"/>
        </w:rPr>
        <w:t xml:space="preserve">Earth System Science Data</w:t>
      </w:r>
      <w:r>
        <w:rPr>
          <w:sz w:val="21"/>
          <w:szCs w:val="21"/>
        </w:rPr>
        <w:t xml:space="preserve">, 13, 4349–4383.</w:t>
      </w:r>
    </w:p>
    <w:p>
      <w:pPr>
        <w:pStyle w:val="ListParagraph"/>
        <w:numPr>
          <w:ilvl w:val="0"/>
          <w:numId w:val="1"/>
        </w:numPr>
        <w:spacing w:after="40" w:before="40"/>
      </w:pPr>
      <w:r>
        <w:rPr>
          <w:b/>
          <w:bCs/>
          <w:sz w:val="21"/>
          <w:szCs w:val="21"/>
        </w:rPr>
        <w:t xml:space="preserve">Nirel, R. (2026).</w:t>
      </w:r>
      <w:r>
        <w:rPr>
          <w:sz w:val="21"/>
          <w:szCs w:val="21"/>
        </w:rPr>
        <w:t xml:space="preserve"> </w:t>
      </w:r>
      <w:r>
        <w:rPr>
          <w:i/>
          <w:iCs/>
          <w:sz w:val="21"/>
          <w:szCs w:val="21"/>
        </w:rPr>
        <w:t xml:space="preserve">On the baseline model</w:t>
      </w:r>
      <w:r>
        <w:rPr>
          <w:sz w:val="21"/>
          <w:szCs w:val="21"/>
        </w:rPr>
        <w:t xml:space="preserve">, internal note, 16 August 2026.</w:t>
      </w:r>
    </w:p>
    <w:p>
      <w:pPr>
        <w:pStyle w:val="ListParagraph"/>
        <w:numPr>
          <w:ilvl w:val="0"/>
          <w:numId w:val="1"/>
        </w:numPr>
        <w:spacing w:after="40" w:before="40"/>
      </w:pPr>
      <w:r>
        <w:rPr>
          <w:b/>
          <w:bCs/>
          <w:sz w:val="21"/>
          <w:szCs w:val="21"/>
        </w:rPr>
        <w:t xml:space="preserve">Perron, M., Sura, P. (2013).</w:t>
      </w:r>
      <w:r>
        <w:rPr>
          <w:sz w:val="21"/>
          <w:szCs w:val="21"/>
        </w:rPr>
        <w:t xml:space="preserve"> Climatology of non-Gaussian atmospheric statistics. </w:t>
      </w:r>
      <w:r>
        <w:rPr>
          <w:i/>
          <w:iCs/>
          <w:sz w:val="21"/>
          <w:szCs w:val="21"/>
        </w:rPr>
        <w:t xml:space="preserve">Journal of Climate</w:t>
      </w:r>
      <w:r>
        <w:rPr>
          <w:sz w:val="21"/>
          <w:szCs w:val="21"/>
        </w:rPr>
        <w:t xml:space="preserve">, 26, 1063–1083.</w:t>
      </w:r>
    </w:p>
    <w:p>
      <w:pPr>
        <w:pStyle w:val="ListParagraph"/>
        <w:numPr>
          <w:ilvl w:val="0"/>
          <w:numId w:val="1"/>
        </w:numPr>
        <w:spacing w:after="40" w:before="40"/>
      </w:pPr>
      <w:r>
        <w:rPr>
          <w:b/>
          <w:bCs/>
          <w:sz w:val="21"/>
          <w:szCs w:val="21"/>
        </w:rPr>
        <w:t xml:space="preserve">Reiter, P., Gutjahr, O., Schefczyk, L., Heinemann, G., Casper, M. (2018).</w:t>
      </w:r>
      <w:r>
        <w:rPr>
          <w:sz w:val="21"/>
          <w:szCs w:val="21"/>
        </w:rPr>
        <w:t xml:space="preserve"> Does applying quantile mapping to subsamples improve the bias correction of daily precipitation? </w:t>
      </w:r>
      <w:r>
        <w:rPr>
          <w:i/>
          <w:iCs/>
          <w:sz w:val="21"/>
          <w:szCs w:val="21"/>
        </w:rPr>
        <w:t xml:space="preserve">International Journal of Climatology</w:t>
      </w:r>
      <w:r>
        <w:rPr>
          <w:sz w:val="21"/>
          <w:szCs w:val="21"/>
        </w:rPr>
        <w:t xml:space="preserve">, 38, 1623–1633.</w:t>
      </w:r>
    </w:p>
    <w:p>
      <w:pPr>
        <w:pStyle w:val="ListParagraph"/>
        <w:numPr>
          <w:ilvl w:val="0"/>
          <w:numId w:val="1"/>
        </w:numPr>
        <w:spacing w:after="40" w:before="40"/>
      </w:pPr>
      <w:r>
        <w:rPr>
          <w:b/>
          <w:bCs/>
          <w:sz w:val="21"/>
          <w:szCs w:val="21"/>
        </w:rPr>
        <w:t xml:space="preserve">Ruff, T. W., Neelin, J. D. (2012).</w:t>
      </w:r>
      <w:r>
        <w:rPr>
          <w:sz w:val="21"/>
          <w:szCs w:val="21"/>
        </w:rPr>
        <w:t xml:space="preserve"> Long tails in regional surface temperature probability distributions with implications for extremes under global warming. </w:t>
      </w:r>
      <w:r>
        <w:rPr>
          <w:i/>
          <w:iCs/>
          <w:sz w:val="21"/>
          <w:szCs w:val="21"/>
        </w:rPr>
        <w:t xml:space="preserve">Geophysical Research Letters</w:t>
      </w:r>
      <w:r>
        <w:rPr>
          <w:sz w:val="21"/>
          <w:szCs w:val="21"/>
        </w:rPr>
        <w:t xml:space="preserve">, 39, L04704.</w:t>
      </w:r>
    </w:p>
    <w:p>
      <w:pPr>
        <w:pStyle w:val="ListParagraph"/>
        <w:numPr>
          <w:ilvl w:val="0"/>
          <w:numId w:val="1"/>
        </w:numPr>
        <w:spacing w:after="40" w:before="40"/>
      </w:pPr>
      <w:r>
        <w:rPr>
          <w:b/>
          <w:bCs/>
          <w:sz w:val="21"/>
          <w:szCs w:val="21"/>
        </w:rPr>
        <w:t xml:space="preserve">Switanek, M. B., et al. (2017).</w:t>
      </w:r>
      <w:r>
        <w:rPr>
          <w:sz w:val="21"/>
          <w:szCs w:val="21"/>
        </w:rPr>
        <w:t xml:space="preserve"> Scaled distribution mapping: a bias correction method that preserves raw climate model projected changes. </w:t>
      </w:r>
      <w:r>
        <w:rPr>
          <w:i/>
          <w:iCs/>
          <w:sz w:val="21"/>
          <w:szCs w:val="21"/>
        </w:rPr>
        <w:t xml:space="preserve">Hydrology and Earth System Sciences</w:t>
      </w:r>
      <w:r>
        <w:rPr>
          <w:sz w:val="21"/>
          <w:szCs w:val="21"/>
        </w:rPr>
        <w:t xml:space="preserve">, 21, 2649–2666.</w:t>
      </w:r>
    </w:p>
    <w:p>
      <w:pPr>
        <w:spacing w:after="120" w:before="60"/>
        <w:jc w:val="left"/>
      </w:pPr>
      <w:r>
        <w:rPr>
          <w:sz w:val="21"/>
          <w:szCs w:val="21"/>
        </w:rPr>
        <w:t xml:space="preserve">Papers are held under </w:t>
      </w:r>
      <w:r>
        <w:rPr>
          <w:rFonts w:ascii="Consolas" w:cs="Consolas" w:eastAsia="Consolas" w:hAnsi="Consolas"/>
          <w:sz w:val="19"/>
          <w:szCs w:val="19"/>
        </w:rPr>
        <w:t xml:space="preserve">articles/quantile_mapping/</w:t>
      </w:r>
      <w:r>
        <w:rPr>
          <w:sz w:val="21"/>
          <w:szCs w:val="21"/>
        </w:rPr>
        <w:t xml:space="preserve">, which is gitignored.</w:t>
      </w:r>
    </w:p>
    <w:sectPr>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1A1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4db8c111054fd89defc7eb5dce5150ed235f446.jpg"/><Relationship Id="rId8" Type="http://schemas.openxmlformats.org/officeDocument/2006/relationships/image" Target="media/6534eea3b13d69a5785178ddbcc081aed450345b.jpg"/><Relationship Id="rId9" Type="http://schemas.openxmlformats.org/officeDocument/2006/relationships/image" Target="media/128e1ff20050c292aafe92ff73cbdba9d75f4ac1.jpg"/><Relationship Id="rId10" Type="http://schemas.openxmlformats.org/officeDocument/2006/relationships/image" Target="media/2206c24f1007bc071298e6b4c5c478a7014718bf.jpg"/><Relationship Id="rId11" Type="http://schemas.openxmlformats.org/officeDocument/2006/relationships/image" Target="media/b2ad3b1980429099f4ef57e247b28284a2589d5b.jpg"/><Relationship Id="rId12" Type="http://schemas.openxmlformats.org/officeDocument/2006/relationships/image" Target="media/8d1e584084ee6b7e3141fa099107ad562af56a30.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Quantile Mapping: A Fitted, Cross-Validated Baseline</dc:title>
  <dc:creator>Shir Levran Kehat</dc:creator>
  <cp:lastModifiedBy>Un-named</cp:lastModifiedBy>
  <cp:revision>1</cp:revision>
  <dcterms:created xsi:type="dcterms:W3CDTF">2026-09-23T19:08:05.172Z</dcterms:created>
  <dcterms:modified xsi:type="dcterms:W3CDTF">2026-09-23T19:08:05.173Z</dcterms:modified>
</cp:coreProperties>
</file>

<file path=docProps/custom.xml><?xml version="1.0" encoding="utf-8"?>
<Properties xmlns="http://schemas.openxmlformats.org/officeDocument/2006/custom-properties" xmlns:vt="http://schemas.openxmlformats.org/officeDocument/2006/docPropsVTypes"/>
</file>