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80" w:line="252" w:lineRule="auto"/>
        <w:jc w:val="left"/>
      </w:pPr>
      <w:r>
        <w:t>CASMS Web Frontend</w:t>
      </w:r>
    </w:p>
    <w:p>
      <w:pPr>
        <w:pStyle w:val="Title"/>
        <w:spacing w:after="80" w:line="252" w:lineRule="auto"/>
        <w:jc w:val="left"/>
      </w:pPr>
      <w:r>
        <w:t>OIM &amp; Regulation Completion Design</w:t>
      </w:r>
    </w:p>
    <w:tbl>
      <w:tblPr>
        <w:tblStyle w:val="Table1"/>
        <w:tblW w:type="auto" w:w="0"/>
        <w:jc w:val="center"/>
        <w:tblLook w:firstColumn="1" w:firstRow="1" w:lastColumn="0" w:lastRow="0" w:noHBand="0" w:noVBand="1" w:val="04A0"/>
      </w:tblPr>
      <w:tblGrid>
        <w:gridCol w:w="3389"/>
        <w:gridCol w:w="3389"/>
        <w:gridCol w:w="3389"/>
      </w:tblGrid>
      <w:tr>
        <w:tc>
          <w:tcPr>
            <w:tcW w:type="dxa" w:w="3389"/>
            <w:vAlign w:val="center"/>
            <w:shd w:fill="123042"/>
          </w:tcPr>
          <w:p>
            <w:r/>
            <w:r>
              <w:rPr>
                <w:b/>
                <w:color w:val="FFFFFF"/>
                <w:sz w:val="18"/>
              </w:rPr>
              <w:t>STATUS</w:t>
            </w:r>
          </w:p>
        </w:tc>
        <w:tc>
          <w:tcPr>
            <w:tcW w:type="dxa" w:w="3389"/>
            <w:vAlign w:val="center"/>
            <w:shd w:fill="123042"/>
          </w:tcPr>
          <w:p>
            <w:r/>
            <w:r>
              <w:rPr>
                <w:b/>
                <w:color w:val="FFFFFF"/>
                <w:sz w:val="18"/>
              </w:rPr>
              <w:t>OWNER</w:t>
            </w:r>
          </w:p>
        </w:tc>
        <w:tc>
          <w:tcPr>
            <w:tcW w:type="dxa" w:w="3389"/>
            <w:vAlign w:val="center"/>
            <w:shd w:fill="123042"/>
          </w:tcPr>
          <w:p>
            <w:r/>
            <w:r>
              <w:rPr>
                <w:b/>
                <w:color w:val="FFFFFF"/>
                <w:sz w:val="18"/>
              </w:rPr>
              <w:t>LAST UPDATED</w:t>
            </w:r>
          </w:p>
        </w:tc>
      </w:tr>
      <w:tr>
        <w:tc>
          <w:tcPr>
            <w:tcW w:type="dxa" w:w="3389"/>
            <w:vAlign w:val="center"/>
          </w:tcPr>
          <w:p>
            <w:r/>
            <w:r>
              <w:rPr>
                <w:b/>
                <w:sz w:val="18"/>
              </w:rPr>
              <w:t>Implemented on feature branch</w:t>
            </w:r>
          </w:p>
        </w:tc>
        <w:tc>
          <w:tcPr>
            <w:tcW w:type="dxa" w:w="3389"/>
            <w:vAlign w:val="center"/>
          </w:tcPr>
          <w:p>
            <w:r/>
            <w:r>
              <w:rPr>
                <w:b/>
                <w:sz w:val="18"/>
              </w:rPr>
              <w:t>Phan Văn Huy</w:t>
            </w:r>
          </w:p>
        </w:tc>
        <w:tc>
          <w:tcPr>
            <w:tcW w:type="dxa" w:w="3389"/>
            <w:vAlign w:val="center"/>
          </w:tcPr>
          <w:p>
            <w:r/>
            <w:r>
              <w:rPr>
                <w:b/>
                <w:sz w:val="18"/>
              </w:rPr>
              <w:t>October 13, 2026</w:t>
            </w:r>
          </w:p>
        </w:tc>
      </w:tr>
    </w:tbl>
    <w:p>
      <w:pPr>
        <w:spacing w:after="80" w:line="252" w:lineRule="auto"/>
      </w:pPr>
    </w:p>
    <w:tbl>
      <w:tblPr>
        <w:tblStyle w:val="Table4"/>
        <w:tblW w:type="auto" w:w="0"/>
        <w:jc w:val="center"/>
        <w:tblLook w:firstColumn="1" w:firstRow="1" w:lastColumn="0" w:lastRow="0" w:noHBand="0" w:noVBand="1" w:val="04A0"/>
      </w:tblPr>
      <w:tblGrid>
        <w:gridCol w:w="5083"/>
        <w:gridCol w:w="5083"/>
      </w:tblGrid>
      <w:tr>
        <w:tc>
          <w:tcPr>
            <w:tcW w:type="dxa" w:w="2160"/>
            <w:vAlign w:val="center"/>
            <w:shd w:fill="123042"/>
          </w:tcPr>
          <w:p>
            <w:r/>
            <w:r>
              <w:rPr>
                <w:b/>
                <w:color w:val="FFFFFF"/>
                <w:sz w:val="18"/>
              </w:rPr>
              <w:t>Document metadata</w:t>
            </w:r>
          </w:p>
        </w:tc>
        <w:tc>
          <w:tcPr>
            <w:tcW w:type="dxa" w:w="8352"/>
            <w:vAlign w:val="center"/>
            <w:shd w:fill="123042"/>
          </w:tcPr>
          <w:p>
            <w:r/>
            <w:r>
              <w:rPr>
                <w:b/>
                <w:color w:val="FFFFFF"/>
                <w:sz w:val="18"/>
              </w:rPr>
              <w:t>Value</w:t>
            </w:r>
          </w:p>
        </w:tc>
      </w:tr>
      <w:tr>
        <w:tc>
          <w:tcPr>
            <w:tcW w:type="dxa" w:w="2160"/>
            <w:vAlign w:val="center"/>
          </w:tcPr>
          <w:p>
            <w:r/>
            <w:r>
              <w:rPr>
                <w:b w:val="0"/>
                <w:sz w:val="16"/>
              </w:rPr>
              <w:t>Branch</w:t>
            </w:r>
          </w:p>
        </w:tc>
        <w:tc>
          <w:tcPr>
            <w:tcW w:type="dxa" w:w="8352"/>
            <w:vAlign w:val="center"/>
          </w:tcPr>
          <w:p>
            <w:r/>
            <w:r>
              <w:rPr>
                <w:b w:val="0"/>
                <w:sz w:val="16"/>
              </w:rPr>
              <w:t>codex/fix-web-oim-reg-completion</w:t>
            </w:r>
          </w:p>
        </w:tc>
      </w:tr>
      <w:tr>
        <w:tc>
          <w:tcPr>
            <w:tcW w:type="dxa" w:w="2160"/>
            <w:vAlign w:val="center"/>
            <w:shd w:fill="F5F7F9"/>
          </w:tcPr>
          <w:p>
            <w:r/>
            <w:r>
              <w:rPr>
                <w:b w:val="0"/>
                <w:sz w:val="16"/>
              </w:rPr>
              <w:t>Base commit</w:t>
            </w:r>
          </w:p>
        </w:tc>
        <w:tc>
          <w:tcPr>
            <w:tcW w:type="dxa" w:w="8352"/>
            <w:vAlign w:val="center"/>
            <w:shd w:fill="F5F7F9"/>
          </w:tcPr>
          <w:p>
            <w:r/>
            <w:r>
              <w:rPr>
                <w:b w:val="0"/>
                <w:sz w:val="16"/>
              </w:rPr>
              <w:t>da14050</w:t>
            </w:r>
          </w:p>
        </w:tc>
      </w:tr>
      <w:tr>
        <w:tc>
          <w:tcPr>
            <w:tcW w:type="dxa" w:w="2160"/>
            <w:vAlign w:val="center"/>
          </w:tcPr>
          <w:p>
            <w:r/>
            <w:r>
              <w:rPr>
                <w:b w:val="0"/>
                <w:sz w:val="16"/>
              </w:rPr>
              <w:t>Source of truth</w:t>
            </w:r>
          </w:p>
        </w:tc>
        <w:tc>
          <w:tcPr>
            <w:tcW w:type="dxa" w:w="8352"/>
            <w:vAlign w:val="center"/>
          </w:tcPr>
          <w:p>
            <w:r/>
            <w:r>
              <w:rPr>
                <w:b w:val="0"/>
                <w:sz w:val="16"/>
              </w:rPr>
              <w:t>FOREP.sql for data; Figma for presentation and interaction</w:t>
            </w:r>
          </w:p>
        </w:tc>
      </w:tr>
      <w:tr>
        <w:tc>
          <w:tcPr>
            <w:tcW w:type="dxa" w:w="2160"/>
            <w:vAlign w:val="center"/>
            <w:shd w:fill="F5F7F9"/>
          </w:tcPr>
          <w:p>
            <w:r/>
            <w:r>
              <w:rPr>
                <w:b w:val="0"/>
                <w:sz w:val="16"/>
              </w:rPr>
              <w:t>Figma file</w:t>
            </w:r>
          </w:p>
        </w:tc>
        <w:tc>
          <w:tcPr>
            <w:tcW w:type="dxa" w:w="8352"/>
            <w:vAlign w:val="center"/>
            <w:shd w:fill="F5F7F9"/>
          </w:tcPr>
          <w:p>
            <w:r/>
            <w:r>
              <w:rPr>
                <w:b w:val="0"/>
                <w:sz w:val="16"/>
              </w:rPr>
              <w:t>BKLkzpHzVteitEbRhx3oKg · page 04 — Admin Web</w:t>
            </w:r>
          </w:p>
        </w:tc>
      </w:tr>
      <w:tr>
        <w:tc>
          <w:tcPr>
            <w:tcW w:type="dxa" w:w="2160"/>
            <w:vAlign w:val="center"/>
          </w:tcPr>
          <w:p>
            <w:r/>
            <w:r>
              <w:rPr>
                <w:b w:val="0"/>
                <w:sz w:val="16"/>
              </w:rPr>
              <w:t>Delivery mode</w:t>
            </w:r>
          </w:p>
        </w:tc>
        <w:tc>
          <w:tcPr>
            <w:tcW w:type="dxa" w:w="8352"/>
            <w:vAlign w:val="center"/>
          </w:tcPr>
          <w:p>
            <w:r/>
            <w:r>
              <w:rPr>
                <w:b w:val="0"/>
                <w:sz w:val="16"/>
              </w:rPr>
              <w:t>Frontend-only, typed in-memory mock adapter</w:t>
            </w:r>
          </w:p>
        </w:tc>
      </w:tr>
    </w:tbl>
    <w:p>
      <w:pPr>
        <w:spacing w:after="80" w:line="252" w:lineRule="auto"/>
      </w:pPr>
    </w:p>
    <w:p>
      <w:pPr>
        <w:pStyle w:val="Heading1"/>
        <w:spacing w:after="80" w:line="252" w:lineRule="auto"/>
      </w:pPr>
      <w:r>
        <w:t>1. Abstract</w:t>
      </w:r>
    </w:p>
    <w:p>
      <w:pPr>
        <w:spacing w:after="80" w:line="252" w:lineRule="auto"/>
      </w:pPr>
      <w:r>
        <w:t>Thiết kế này hoàn thiện hai module frontend được giao: Operational Issue Management (OIM) và Regulation kèm Ship/Cruise Regulation. Kiến trúc dùng route React, feature module độc lập, view model cho UI và typed mock adapter làm ranh giới thay thế API. FOREP.sql quyết định dữ liệu có thể persisted; Figma quyết định bố cục, copy hierarchy, component và interaction state.</w:t>
      </w:r>
    </w:p>
    <w:p>
      <w:pPr>
        <w:spacing w:after="80" w:line="252" w:lineRule="auto"/>
      </w:pPr>
      <w:r>
        <w:t>Kết quả sửa các blocker sau merge: khôi phục route OIM; triển khai đủ sáu action; loại bỏ audit/history/impact/link giả; đồng bộ enum Regulation; và để trang Regulation Detail đọc assignment từ mock join ShipRegulation/CruiseRegulation thay vì suy luận từ scope.</w:t>
      </w:r>
    </w:p>
    <w:tbl>
      <w:tblPr>
        <w:tblStyle w:val="Table2"/>
        <w:tblW w:type="auto" w:w="0"/>
        <w:tblLook w:firstColumn="1" w:firstRow="1" w:lastColumn="0" w:lastRow="0" w:noHBand="0" w:noVBand="1" w:val="04A0"/>
      </w:tblPr>
      <w:tblGrid>
        <w:gridCol w:w="10166"/>
      </w:tblGrid>
      <w:tr>
        <w:tc>
          <w:tcPr>
            <w:tcW w:type="dxa" w:w="10166"/>
            <w:shd w:fill="EAF0F3"/>
          </w:tcPr>
          <w:p>
            <w:r>
              <w:rPr>
                <w:b/>
              </w:rPr>
              <w:t xml:space="preserve">Invariant chính — </w:t>
            </w:r>
            <w:r>
              <w:t>UI không được biến dữ liệu mẫu trong Figma thành schema. Mọi field persisted phải có nguồn trong FOREP.sql; dữ liệu trình bày bổ sung phải được map rõ tại boundary.</w:t>
            </w:r>
          </w:p>
        </w:tc>
      </w:tr>
    </w:tbl>
    <w:p>
      <w:pPr>
        <w:spacing w:after="80" w:line="252" w:lineRule="auto"/>
      </w:pPr>
    </w:p>
    <w:p>
      <w:pPr>
        <w:pStyle w:val="Heading1"/>
        <w:spacing w:after="80" w:line="252" w:lineRule="auto"/>
      </w:pPr>
      <w:r>
        <w:t>2. Goals and Non-Goals</w:t>
      </w:r>
    </w:p>
    <w:tbl>
      <w:tblPr>
        <w:tblStyle w:val="Table4"/>
        <w:tblW w:type="auto" w:w="0"/>
        <w:jc w:val="center"/>
        <w:tblLook w:firstColumn="1" w:firstRow="1" w:lastColumn="0" w:lastRow="0" w:noHBand="0" w:noVBand="1" w:val="04A0"/>
      </w:tblPr>
      <w:tblGrid>
        <w:gridCol w:w="5083"/>
        <w:gridCol w:w="5083"/>
      </w:tblGrid>
      <w:tr>
        <w:tc>
          <w:tcPr>
            <w:tcW w:type="dxa" w:w="5256"/>
            <w:vAlign w:val="center"/>
            <w:shd w:fill="123042"/>
          </w:tcPr>
          <w:p>
            <w:r/>
            <w:r>
              <w:rPr>
                <w:b/>
                <w:color w:val="FFFFFF"/>
                <w:sz w:val="18"/>
              </w:rPr>
              <w:t>Goals</w:t>
            </w:r>
          </w:p>
        </w:tc>
        <w:tc>
          <w:tcPr>
            <w:tcW w:type="dxa" w:w="5256"/>
            <w:vAlign w:val="center"/>
            <w:shd w:fill="123042"/>
          </w:tcPr>
          <w:p>
            <w:r/>
            <w:r>
              <w:rPr>
                <w:b/>
                <w:color w:val="FFFFFF"/>
                <w:sz w:val="18"/>
              </w:rPr>
              <w:t>Non-goals</w:t>
            </w:r>
          </w:p>
        </w:tc>
      </w:tr>
      <w:tr>
        <w:tc>
          <w:tcPr>
            <w:tcW w:type="dxa" w:w="5256"/>
            <w:vAlign w:val="center"/>
          </w:tcPr>
          <w:p>
            <w:r/>
            <w:r>
              <w:rPr>
                <w:b w:val="0"/>
                <w:sz w:val="16"/>
              </w:rPr>
              <w:t>OIM list: search, 5 filters, pagination</w:t>
            </w:r>
          </w:p>
        </w:tc>
        <w:tc>
          <w:tcPr>
            <w:tcW w:type="dxa" w:w="5256"/>
            <w:vAlign w:val="center"/>
          </w:tcPr>
          <w:p>
            <w:r/>
            <w:r>
              <w:rPr>
                <w:b w:val="0"/>
                <w:sz w:val="16"/>
              </w:rPr>
              <w:t>Không tạo backend endpoint hoặc HTTP client</w:t>
            </w:r>
          </w:p>
        </w:tc>
      </w:tr>
      <w:tr>
        <w:tc>
          <w:tcPr>
            <w:tcW w:type="dxa" w:w="5256"/>
            <w:vAlign w:val="center"/>
            <w:shd w:fill="F5F7F9"/>
          </w:tcPr>
          <w:p>
            <w:r/>
            <w:r>
              <w:rPr>
                <w:b w:val="0"/>
                <w:sz w:val="16"/>
              </w:rPr>
              <w:t>OIM detail và 6 action hoạt động bằng mock state</w:t>
            </w:r>
          </w:p>
        </w:tc>
        <w:tc>
          <w:tcPr>
            <w:tcW w:type="dxa" w:w="5256"/>
            <w:vAlign w:val="center"/>
            <w:shd w:fill="F5F7F9"/>
          </w:tcPr>
          <w:p>
            <w:r/>
            <w:r>
              <w:rPr>
                <w:b w:val="0"/>
                <w:sz w:val="16"/>
              </w:rPr>
              <w:t>Không phát minh audit/event/history table</w:t>
            </w:r>
          </w:p>
        </w:tc>
      </w:tr>
      <w:tr>
        <w:tc>
          <w:tcPr>
            <w:tcW w:type="dxa" w:w="5256"/>
            <w:vAlign w:val="center"/>
          </w:tcPr>
          <w:p>
            <w:r/>
            <w:r>
              <w:rPr>
                <w:b w:val="0"/>
                <w:sz w:val="16"/>
              </w:rPr>
              <w:t>Regulation list/detail/form và status actions</w:t>
            </w:r>
          </w:p>
        </w:tc>
        <w:tc>
          <w:tcPr>
            <w:tcW w:type="dxa" w:w="5256"/>
            <w:vAlign w:val="center"/>
          </w:tcPr>
          <w:p>
            <w:r/>
            <w:r>
              <w:rPr>
                <w:b w:val="0"/>
                <w:sz w:val="16"/>
              </w:rPr>
              <w:t>Không triển khai auth/permission system</w:t>
            </w:r>
          </w:p>
        </w:tc>
      </w:tr>
      <w:tr>
        <w:tc>
          <w:tcPr>
            <w:tcW w:type="dxa" w:w="5256"/>
            <w:vAlign w:val="center"/>
            <w:shd w:fill="F5F7F9"/>
          </w:tcPr>
          <w:p>
            <w:r/>
            <w:r>
              <w:rPr>
                <w:b w:val="0"/>
                <w:sz w:val="16"/>
              </w:rPr>
              <w:t>Ship/Cruise assign, remove, conflict display</w:t>
            </w:r>
          </w:p>
        </w:tc>
        <w:tc>
          <w:tcPr>
            <w:tcW w:type="dxa" w:w="5256"/>
            <w:vAlign w:val="center"/>
            <w:shd w:fill="F5F7F9"/>
          </w:tcPr>
          <w:p>
            <w:r/>
            <w:r>
              <w:rPr>
                <w:b w:val="0"/>
                <w:sz w:val="16"/>
              </w:rPr>
              <w:t>Không làm Ship/Cruise CRUD ngoài assignment</w:t>
            </w:r>
          </w:p>
        </w:tc>
      </w:tr>
      <w:tr>
        <w:tc>
          <w:tcPr>
            <w:tcW w:type="dxa" w:w="5256"/>
            <w:vAlign w:val="center"/>
          </w:tcPr>
          <w:p>
            <w:r/>
            <w:r>
              <w:rPr>
                <w:b w:val="0"/>
                <w:sz w:val="16"/>
              </w:rPr>
              <w:t>Enums và quan hệ phù hợp FOREP.sql</w:t>
            </w:r>
          </w:p>
        </w:tc>
        <w:tc>
          <w:tcPr>
            <w:tcW w:type="dxa" w:w="5256"/>
            <w:vAlign w:val="center"/>
          </w:tcPr>
          <w:p>
            <w:r/>
            <w:r>
              <w:rPr>
                <w:b w:val="0"/>
                <w:sz w:val="16"/>
              </w:rPr>
              <w:t>Không hard-code dữ liệu chỉ để khớp số đếm screenshot</w:t>
            </w:r>
          </w:p>
        </w:tc>
      </w:tr>
    </w:tbl>
    <w:p>
      <w:pPr>
        <w:spacing w:after="80" w:line="252" w:lineRule="auto"/>
      </w:pPr>
    </w:p>
    <w:p>
      <w:pPr>
        <w:pStyle w:val="Heading1"/>
        <w:spacing w:after="80" w:line="252" w:lineRule="auto"/>
      </w:pPr>
      <w:r>
        <w:t>3. Background and Problem Statement</w:t>
      </w:r>
    </w:p>
    <w:p>
      <w:pPr>
        <w:spacing w:after="80" w:line="252" w:lineRule="auto"/>
      </w:pPr>
      <w:r>
        <w:t>Sau merge, router chỉ giữ Regulation nên /admin/issues và /admin/issues/:issueId không render. OIM có UI cho sáu action nhưng bốn action cuối bị chặn. Model Regulation chứa enum và unit không tồn tại trong SQL, còn Detail giả định scope đồng nghĩa đã được gán. OIM view model cũng coi event/history/impact/link fields là dữ liệu luôn tồn tại dù bảng OperationalIssue không có.</w:t>
      </w:r>
    </w:p>
    <w:p>
      <w:pPr>
        <w:spacing w:after="80" w:line="252" w:lineRule="auto"/>
      </w:pPr>
      <w:r>
        <w:t>Nếu giữ trạng thái này, frontend mock tạo kỳ vọng sai cho backend integration: DTO hợp lệ theo SQL có thể không map được; người dùng thấy assignment hoặc lịch sử không tồn tại; và route OIM không thể truy cập dù component đã có.</w:t>
      </w:r>
    </w:p>
    <w:p>
      <w:pPr>
        <w:pStyle w:val="Heading1"/>
        <w:spacing w:after="80" w:line="252" w:lineRule="auto"/>
      </w:pPr>
      <w:r>
        <w:t>4. Proposed Architecture</w:t>
      </w:r>
    </w:p>
    <w:tbl>
      <w:tblPr>
        <w:tblStyle w:val="Table4"/>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123042"/>
          </w:tcPr>
          <w:p>
            <w:r/>
            <w:r>
              <w:rPr>
                <w:b/>
                <w:color w:val="FFFFFF"/>
                <w:sz w:val="16"/>
              </w:rPr>
              <w:t>React Router</w:t>
            </w:r>
          </w:p>
        </w:tc>
        <w:tc>
          <w:tcPr>
            <w:tcW w:type="dxa" w:w="2033"/>
            <w:vAlign w:val="center"/>
            <w:shd w:fill="28556B"/>
          </w:tcPr>
          <w:p>
            <w:r/>
            <w:r>
              <w:rPr>
                <w:b/>
                <w:color w:val="FFFFFF"/>
                <w:sz w:val="16"/>
              </w:rPr>
              <w:t>Feature Pages</w:t>
            </w:r>
          </w:p>
        </w:tc>
        <w:tc>
          <w:tcPr>
            <w:tcW w:type="dxa" w:w="2033"/>
            <w:vAlign w:val="center"/>
            <w:shd w:fill="123042"/>
          </w:tcPr>
          <w:p>
            <w:r/>
            <w:r>
              <w:rPr>
                <w:b/>
                <w:color w:val="FFFFFF"/>
                <w:sz w:val="16"/>
              </w:rPr>
              <w:t>Hooks</w:t>
            </w:r>
          </w:p>
        </w:tc>
        <w:tc>
          <w:tcPr>
            <w:tcW w:type="dxa" w:w="2033"/>
            <w:vAlign w:val="center"/>
            <w:shd w:fill="28556B"/>
          </w:tcPr>
          <w:p>
            <w:r/>
            <w:r>
              <w:rPr>
                <w:b/>
                <w:color w:val="FFFFFF"/>
                <w:sz w:val="16"/>
              </w:rPr>
              <w:t>Typed Mock Adapter</w:t>
            </w:r>
          </w:p>
        </w:tc>
        <w:tc>
          <w:tcPr>
            <w:tcW w:type="dxa" w:w="2033"/>
            <w:vAlign w:val="center"/>
            <w:shd w:fill="123042"/>
          </w:tcPr>
          <w:p>
            <w:r/>
            <w:r>
              <w:rPr>
                <w:b/>
                <w:color w:val="FFFFFF"/>
                <w:sz w:val="16"/>
              </w:rPr>
              <w:t>SQL-shaped Records</w:t>
            </w:r>
          </w:p>
        </w:tc>
      </w:tr>
    </w:tbl>
    <w:p>
      <w:pPr>
        <w:spacing w:after="80" w:line="252" w:lineRule="auto"/>
      </w:pPr>
      <w:r>
        <w:rPr>
          <w:i/>
          <w:color w:val="52616B"/>
        </w:rPr>
        <w:t>Figure 1. Luồng phụ thuộc một chiều của frontend mock.</w:t>
      </w:r>
    </w:p>
    <w:tbl>
      <w:tblPr>
        <w:tblStyle w:val="Table4"/>
        <w:tblW w:type="auto" w:w="0"/>
        <w:jc w:val="center"/>
        <w:tblLook w:firstColumn="1" w:firstRow="1" w:lastColumn="0" w:lastRow="0" w:noHBand="0" w:noVBand="1" w:val="04A0"/>
      </w:tblPr>
      <w:tblGrid>
        <w:gridCol w:w="2541"/>
        <w:gridCol w:w="2541"/>
        <w:gridCol w:w="2541"/>
        <w:gridCol w:w="2541"/>
      </w:tblGrid>
      <w:tr>
        <w:tc>
          <w:tcPr>
            <w:tcW w:type="dxa" w:w="1800"/>
            <w:vAlign w:val="center"/>
            <w:shd w:fill="123042"/>
          </w:tcPr>
          <w:p>
            <w:r/>
            <w:r>
              <w:rPr>
                <w:b/>
                <w:color w:val="FFFFFF"/>
                <w:sz w:val="18"/>
              </w:rPr>
              <w:t>Component</w:t>
            </w:r>
          </w:p>
        </w:tc>
        <w:tc>
          <w:tcPr>
            <w:tcW w:type="dxa" w:w="3528"/>
            <w:vAlign w:val="center"/>
            <w:shd w:fill="123042"/>
          </w:tcPr>
          <w:p>
            <w:r/>
            <w:r>
              <w:rPr>
                <w:b/>
                <w:color w:val="FFFFFF"/>
                <w:sz w:val="18"/>
              </w:rPr>
              <w:t>Responsibility</w:t>
            </w:r>
          </w:p>
        </w:tc>
        <w:tc>
          <w:tcPr>
            <w:tcW w:type="dxa" w:w="2232"/>
            <w:vAlign w:val="center"/>
            <w:shd w:fill="123042"/>
          </w:tcPr>
          <w:p>
            <w:r/>
            <w:r>
              <w:rPr>
                <w:b/>
                <w:color w:val="FFFFFF"/>
                <w:sz w:val="18"/>
              </w:rPr>
              <w:t>Primary state</w:t>
            </w:r>
          </w:p>
        </w:tc>
        <w:tc>
          <w:tcPr>
            <w:tcW w:type="dxa" w:w="2952"/>
            <w:vAlign w:val="center"/>
            <w:shd w:fill="123042"/>
          </w:tcPr>
          <w:p>
            <w:r/>
            <w:r>
              <w:rPr>
                <w:b/>
                <w:color w:val="FFFFFF"/>
                <w:sz w:val="18"/>
              </w:rPr>
              <w:t>Failure behavior</w:t>
            </w:r>
          </w:p>
        </w:tc>
      </w:tr>
      <w:tr>
        <w:tc>
          <w:tcPr>
            <w:tcW w:type="dxa" w:w="1800"/>
            <w:vAlign w:val="center"/>
          </w:tcPr>
          <w:p>
            <w:r/>
            <w:r>
              <w:rPr>
                <w:b w:val="0"/>
                <w:sz w:val="16"/>
              </w:rPr>
              <w:t>app/router.tsx</w:t>
            </w:r>
          </w:p>
        </w:tc>
        <w:tc>
          <w:tcPr>
            <w:tcW w:type="dxa" w:w="3528"/>
            <w:vAlign w:val="center"/>
          </w:tcPr>
          <w:p>
            <w:r/>
            <w:r>
              <w:rPr>
                <w:b w:val="0"/>
                <w:sz w:val="16"/>
              </w:rPr>
              <w:t>Expose OIM and Regulation routes</w:t>
            </w:r>
          </w:p>
        </w:tc>
        <w:tc>
          <w:tcPr>
            <w:tcW w:type="dxa" w:w="2232"/>
            <w:vAlign w:val="center"/>
          </w:tcPr>
          <w:p>
            <w:r/>
            <w:r>
              <w:rPr>
                <w:b w:val="0"/>
                <w:sz w:val="16"/>
              </w:rPr>
              <w:t>Route params / URL</w:t>
            </w:r>
          </w:p>
        </w:tc>
        <w:tc>
          <w:tcPr>
            <w:tcW w:type="dxa" w:w="2952"/>
            <w:vAlign w:val="center"/>
          </w:tcPr>
          <w:p>
            <w:r/>
            <w:r>
              <w:rPr>
                <w:b w:val="0"/>
                <w:sz w:val="16"/>
              </w:rPr>
              <w:t>Not-found page</w:t>
            </w:r>
          </w:p>
        </w:tc>
      </w:tr>
      <w:tr>
        <w:tc>
          <w:tcPr>
            <w:tcW w:type="dxa" w:w="1800"/>
            <w:vAlign w:val="center"/>
            <w:shd w:fill="F5F7F9"/>
          </w:tcPr>
          <w:p>
            <w:r/>
            <w:r>
              <w:rPr>
                <w:b w:val="0"/>
                <w:sz w:val="16"/>
              </w:rPr>
              <w:t>Feature pages</w:t>
            </w:r>
          </w:p>
        </w:tc>
        <w:tc>
          <w:tcPr>
            <w:tcW w:type="dxa" w:w="3528"/>
            <w:vAlign w:val="center"/>
            <w:shd w:fill="F5F7F9"/>
          </w:tcPr>
          <w:p>
            <w:r/>
            <w:r>
              <w:rPr>
                <w:b w:val="0"/>
                <w:sz w:val="16"/>
              </w:rPr>
              <w:t>Compose Figma screens and states</w:t>
            </w:r>
          </w:p>
        </w:tc>
        <w:tc>
          <w:tcPr>
            <w:tcW w:type="dxa" w:w="2232"/>
            <w:vAlign w:val="center"/>
            <w:shd w:fill="F5F7F9"/>
          </w:tcPr>
          <w:p>
            <w:r/>
            <w:r>
              <w:rPr>
                <w:b w:val="0"/>
                <w:sz w:val="16"/>
              </w:rPr>
              <w:t>Hook result</w:t>
            </w:r>
          </w:p>
        </w:tc>
        <w:tc>
          <w:tcPr>
            <w:tcW w:type="dxa" w:w="2952"/>
            <w:vAlign w:val="center"/>
            <w:shd w:fill="F5F7F9"/>
          </w:tcPr>
          <w:p>
            <w:r/>
            <w:r>
              <w:rPr>
                <w:b w:val="0"/>
                <w:sz w:val="16"/>
              </w:rPr>
              <w:t>Loading/error/empty UI</w:t>
            </w:r>
          </w:p>
        </w:tc>
      </w:tr>
      <w:tr>
        <w:tc>
          <w:tcPr>
            <w:tcW w:type="dxa" w:w="1800"/>
            <w:vAlign w:val="center"/>
          </w:tcPr>
          <w:p>
            <w:r/>
            <w:r>
              <w:rPr>
                <w:b w:val="0"/>
                <w:sz w:val="16"/>
              </w:rPr>
              <w:t>Feature hooks</w:t>
            </w:r>
          </w:p>
        </w:tc>
        <w:tc>
          <w:tcPr>
            <w:tcW w:type="dxa" w:w="3528"/>
            <w:vAlign w:val="center"/>
          </w:tcPr>
          <w:p>
            <w:r/>
            <w:r>
              <w:rPr>
                <w:b w:val="0"/>
                <w:sz w:val="16"/>
              </w:rPr>
              <w:t>Coordinate query and mutation state</w:t>
            </w:r>
          </w:p>
        </w:tc>
        <w:tc>
          <w:tcPr>
            <w:tcW w:type="dxa" w:w="2232"/>
            <w:vAlign w:val="center"/>
          </w:tcPr>
          <w:p>
            <w:r/>
            <w:r>
              <w:rPr>
                <w:b w:val="0"/>
                <w:sz w:val="16"/>
              </w:rPr>
              <w:t>React local state</w:t>
            </w:r>
          </w:p>
        </w:tc>
        <w:tc>
          <w:tcPr>
            <w:tcW w:type="dxa" w:w="2952"/>
            <w:vAlign w:val="center"/>
          </w:tcPr>
          <w:p>
            <w:r/>
            <w:r>
              <w:rPr>
                <w:b w:val="0"/>
                <w:sz w:val="16"/>
              </w:rPr>
              <w:t>Visible feedback</w:t>
            </w:r>
          </w:p>
        </w:tc>
      </w:tr>
      <w:tr>
        <w:tc>
          <w:tcPr>
            <w:tcW w:type="dxa" w:w="1800"/>
            <w:vAlign w:val="center"/>
            <w:shd w:fill="F5F7F9"/>
          </w:tcPr>
          <w:p>
            <w:r/>
            <w:r>
              <w:rPr>
                <w:b w:val="0"/>
                <w:sz w:val="16"/>
              </w:rPr>
              <w:t>Mock adapters</w:t>
            </w:r>
          </w:p>
        </w:tc>
        <w:tc>
          <w:tcPr>
            <w:tcW w:type="dxa" w:w="3528"/>
            <w:vAlign w:val="center"/>
            <w:shd w:fill="F5F7F9"/>
          </w:tcPr>
          <w:p>
            <w:r/>
            <w:r>
              <w:rPr>
                <w:b w:val="0"/>
                <w:sz w:val="16"/>
              </w:rPr>
              <w:t>Validate transitions and mutate fixtures</w:t>
            </w:r>
          </w:p>
        </w:tc>
        <w:tc>
          <w:tcPr>
            <w:tcW w:type="dxa" w:w="2232"/>
            <w:vAlign w:val="center"/>
            <w:shd w:fill="F5F7F9"/>
          </w:tcPr>
          <w:p>
            <w:r/>
            <w:r>
              <w:rPr>
                <w:b w:val="0"/>
                <w:sz w:val="16"/>
              </w:rPr>
              <w:t>In-memory records</w:t>
            </w:r>
          </w:p>
        </w:tc>
        <w:tc>
          <w:tcPr>
            <w:tcW w:type="dxa" w:w="2952"/>
            <w:vAlign w:val="center"/>
            <w:shd w:fill="F5F7F9"/>
          </w:tcPr>
          <w:p>
            <w:r/>
            <w:r>
              <w:rPr>
                <w:b w:val="0"/>
                <w:sz w:val="16"/>
              </w:rPr>
              <w:t>Typed error</w:t>
            </w:r>
          </w:p>
        </w:tc>
      </w:tr>
      <w:tr>
        <w:tc>
          <w:tcPr>
            <w:tcW w:type="dxa" w:w="1800"/>
            <w:vAlign w:val="center"/>
          </w:tcPr>
          <w:p>
            <w:r/>
            <w:r>
              <w:rPr>
                <w:b w:val="0"/>
                <w:sz w:val="16"/>
              </w:rPr>
              <w:t>Record → view mapper</w:t>
            </w:r>
          </w:p>
        </w:tc>
        <w:tc>
          <w:tcPr>
            <w:tcW w:type="dxa" w:w="3528"/>
            <w:vAlign w:val="center"/>
          </w:tcPr>
          <w:p>
            <w:r/>
            <w:r>
              <w:rPr>
                <w:b w:val="0"/>
                <w:sz w:val="16"/>
              </w:rPr>
              <w:t>Resolve labels/references for UI</w:t>
            </w:r>
          </w:p>
        </w:tc>
        <w:tc>
          <w:tcPr>
            <w:tcW w:type="dxa" w:w="2232"/>
            <w:vAlign w:val="center"/>
          </w:tcPr>
          <w:p>
            <w:r/>
            <w:r>
              <w:rPr>
                <w:b w:val="0"/>
                <w:sz w:val="16"/>
              </w:rPr>
              <w:t>SQL-shaped record</w:t>
            </w:r>
          </w:p>
        </w:tc>
        <w:tc>
          <w:tcPr>
            <w:tcW w:type="dxa" w:w="2952"/>
            <w:vAlign w:val="center"/>
          </w:tcPr>
          <w:p>
            <w:r/>
            <w:r>
              <w:rPr>
                <w:b w:val="0"/>
                <w:sz w:val="16"/>
              </w:rPr>
              <w:t>Unknown fallback</w:t>
            </w:r>
          </w:p>
        </w:tc>
      </w:tr>
      <w:tr>
        <w:tc>
          <w:tcPr>
            <w:tcW w:type="dxa" w:w="1800"/>
            <w:vAlign w:val="center"/>
            <w:shd w:fill="F5F7F9"/>
          </w:tcPr>
          <w:p>
            <w:r/>
            <w:r>
              <w:rPr>
                <w:b w:val="0"/>
                <w:sz w:val="16"/>
              </w:rPr>
              <w:t>Assignment joins</w:t>
            </w:r>
          </w:p>
        </w:tc>
        <w:tc>
          <w:tcPr>
            <w:tcW w:type="dxa" w:w="3528"/>
            <w:vAlign w:val="center"/>
            <w:shd w:fill="F5F7F9"/>
          </w:tcPr>
          <w:p>
            <w:r/>
            <w:r>
              <w:rPr>
                <w:b w:val="0"/>
                <w:sz w:val="16"/>
              </w:rPr>
              <w:t>Represent ShipRegulation/CruiseRegulation</w:t>
            </w:r>
          </w:p>
        </w:tc>
        <w:tc>
          <w:tcPr>
            <w:tcW w:type="dxa" w:w="2232"/>
            <w:vAlign w:val="center"/>
            <w:shd w:fill="F5F7F9"/>
          </w:tcPr>
          <w:p>
            <w:r/>
            <w:r>
              <w:rPr>
                <w:b w:val="0"/>
                <w:sz w:val="16"/>
              </w:rPr>
              <w:t>ID arrays</w:t>
            </w:r>
          </w:p>
        </w:tc>
        <w:tc>
          <w:tcPr>
            <w:tcW w:type="dxa" w:w="2952"/>
            <w:vAlign w:val="center"/>
            <w:shd w:fill="F5F7F9"/>
          </w:tcPr>
          <w:p>
            <w:r/>
            <w:r>
              <w:rPr>
                <w:b w:val="0"/>
                <w:sz w:val="16"/>
              </w:rPr>
              <w:t>No false assignment</w:t>
            </w:r>
          </w:p>
        </w:tc>
      </w:tr>
    </w:tbl>
    <w:p>
      <w:pPr>
        <w:spacing w:after="80" w:line="252" w:lineRule="auto"/>
      </w:pPr>
    </w:p>
    <w:tbl>
      <w:tblPr>
        <w:tblStyle w:val="Table2"/>
        <w:tblW w:type="auto" w:w="0"/>
        <w:tblLook w:firstColumn="1" w:firstRow="1" w:lastColumn="0" w:lastRow="0" w:noHBand="0" w:noVBand="1" w:val="04A0"/>
      </w:tblPr>
      <w:tblGrid>
        <w:gridCol w:w="10166"/>
      </w:tblGrid>
      <w:tr>
        <w:tc>
          <w:tcPr>
            <w:tcW w:type="dxa" w:w="10166"/>
            <w:shd w:fill="EAF0F3"/>
          </w:tcPr>
          <w:p>
            <w:r>
              <w:rPr>
                <w:b/>
              </w:rPr>
              <w:t xml:space="preserve">Dependency rule — </w:t>
            </w:r>
            <w:r>
              <w:t>app → features → model/mocks. Pages do not own persistence rules; adapters do not own layout.</w:t>
            </w:r>
          </w:p>
        </w:tc>
      </w:tr>
    </w:tbl>
    <w:p>
      <w:pPr>
        <w:spacing w:after="80" w:line="252" w:lineRule="auto"/>
      </w:pPr>
    </w:p>
    <w:p>
      <w:pPr>
        <w:pStyle w:val="Heading1"/>
        <w:spacing w:after="80" w:line="252" w:lineRule="auto"/>
      </w:pPr>
      <w:r>
        <w:t>5. Request Lifecycle</w:t>
      </w:r>
    </w:p>
    <w:p>
      <w:pPr>
        <w:spacing w:after="80" w:line="252" w:lineRule="auto"/>
        <w:ind w:left="360" w:hanging="288"/>
      </w:pPr>
      <w:r>
        <w:rPr>
          <w:b/>
        </w:rPr>
        <w:t xml:space="preserve">1. </w:t>
      </w:r>
      <w:r>
        <w:t>Router parses the list/detail/host route and passes stable identifiers to the feature page.</w:t>
      </w:r>
    </w:p>
    <w:p>
      <w:pPr>
        <w:spacing w:after="80" w:line="252" w:lineRule="auto"/>
        <w:ind w:left="360" w:hanging="288"/>
      </w:pPr>
      <w:r>
        <w:rPr>
          <w:b/>
        </w:rPr>
        <w:t xml:space="preserve">2. </w:t>
      </w:r>
      <w:r>
        <w:t>Hook normalizes query state, including search, filters, page and page size.</w:t>
      </w:r>
    </w:p>
    <w:p>
      <w:pPr>
        <w:spacing w:after="80" w:line="252" w:lineRule="auto"/>
        <w:ind w:left="360" w:hanging="288"/>
      </w:pPr>
      <w:r>
        <w:rPr>
          <w:b/>
        </w:rPr>
        <w:t xml:space="preserve">3. </w:t>
      </w:r>
      <w:r>
        <w:t>Mock adapter validates enum, status and action preconditions against SQL-compatible records.</w:t>
      </w:r>
    </w:p>
    <w:p>
      <w:pPr>
        <w:spacing w:after="80" w:line="252" w:lineRule="auto"/>
        <w:ind w:left="360" w:hanging="288"/>
      </w:pPr>
      <w:r>
        <w:rPr>
          <w:b/>
        </w:rPr>
        <w:t xml:space="preserve">4. </w:t>
      </w:r>
      <w:r>
        <w:t>Adapter returns a view model with resolved ship, cruise, cabin and person labels.</w:t>
      </w:r>
    </w:p>
    <w:p>
      <w:pPr>
        <w:spacing w:after="80" w:line="252" w:lineRule="auto"/>
        <w:ind w:left="360" w:hanging="288"/>
      </w:pPr>
      <w:r>
        <w:rPr>
          <w:b/>
        </w:rPr>
        <w:t xml:space="preserve">5. </w:t>
      </w:r>
      <w:r>
        <w:t>Page renders the corresponding Figma loading, ready, empty, error or dialog state.</w:t>
      </w:r>
    </w:p>
    <w:p>
      <w:pPr>
        <w:spacing w:after="80" w:line="252" w:lineRule="auto"/>
        <w:ind w:left="360" w:hanging="288"/>
      </w:pPr>
      <w:r>
        <w:rPr>
          <w:b/>
        </w:rPr>
        <w:t xml:space="preserve">6. </w:t>
      </w:r>
      <w:r>
        <w:t>Mutation runs once, updates in-memory state, then reloads the detail/list snapshot.</w:t>
      </w:r>
    </w:p>
    <w:p>
      <w:pPr>
        <w:spacing w:after="80" w:line="252" w:lineRule="auto"/>
        <w:ind w:left="360" w:hanging="288"/>
      </w:pPr>
      <w:r>
        <w:rPr>
          <w:b/>
        </w:rPr>
        <w:t xml:space="preserve">7. </w:t>
      </w:r>
      <w:r>
        <w:t>Late conflict responses are ignored when target/candidate context has changed.</w:t>
      </w:r>
    </w:p>
    <w:p>
      <w:pPr>
        <w:pStyle w:val="Heading1"/>
        <w:spacing w:after="80" w:line="252" w:lineRule="auto"/>
      </w:pPr>
      <w:r>
        <w:t>6. API and Data Contracts</w:t>
      </w:r>
    </w:p>
    <w:p>
      <w:pPr>
        <w:pStyle w:val="Heading3"/>
        <w:spacing w:after="80" w:line="252" w:lineRule="auto"/>
      </w:pPr>
      <w:r>
        <w:t>OperationalIssue record</w:t>
      </w:r>
    </w:p>
    <w:tbl>
      <w:tblPr>
        <w:tblStyle w:val="Table4"/>
        <w:tblW w:type="auto" w:w="0"/>
        <w:jc w:val="center"/>
        <w:tblLook w:firstColumn="1" w:firstRow="1" w:lastColumn="0" w:lastRow="0" w:noHBand="0" w:noVBand="1" w:val="04A0"/>
      </w:tblPr>
      <w:tblGrid>
        <w:gridCol w:w="3389"/>
        <w:gridCol w:w="3389"/>
        <w:gridCol w:w="3389"/>
      </w:tblGrid>
      <w:tr>
        <w:tc>
          <w:tcPr>
            <w:tcW w:type="dxa" w:w="1728"/>
            <w:vAlign w:val="center"/>
            <w:shd w:fill="123042"/>
          </w:tcPr>
          <w:p>
            <w:r/>
            <w:r>
              <w:rPr>
                <w:b/>
                <w:color w:val="FFFFFF"/>
                <w:sz w:val="18"/>
              </w:rPr>
              <w:t>Field group</w:t>
            </w:r>
          </w:p>
        </w:tc>
        <w:tc>
          <w:tcPr>
            <w:tcW w:type="dxa" w:w="4176"/>
            <w:vAlign w:val="center"/>
            <w:shd w:fill="123042"/>
          </w:tcPr>
          <w:p>
            <w:r/>
            <w:r>
              <w:rPr>
                <w:b/>
                <w:color w:val="FFFFFF"/>
                <w:sz w:val="18"/>
              </w:rPr>
              <w:t>SQL fields</w:t>
            </w:r>
          </w:p>
        </w:tc>
        <w:tc>
          <w:tcPr>
            <w:tcW w:type="dxa" w:w="4608"/>
            <w:vAlign w:val="center"/>
            <w:shd w:fill="123042"/>
          </w:tcPr>
          <w:p>
            <w:r/>
            <w:r>
              <w:rPr>
                <w:b/>
                <w:color w:val="FFFFFF"/>
                <w:sz w:val="18"/>
              </w:rPr>
              <w:t>Frontend rule</w:t>
            </w:r>
          </w:p>
        </w:tc>
      </w:tr>
      <w:tr>
        <w:tc>
          <w:tcPr>
            <w:tcW w:type="dxa" w:w="1728"/>
            <w:vAlign w:val="center"/>
          </w:tcPr>
          <w:p>
            <w:r/>
            <w:r>
              <w:rPr>
                <w:b w:val="0"/>
                <w:sz w:val="16"/>
              </w:rPr>
              <w:t>Identity</w:t>
            </w:r>
          </w:p>
        </w:tc>
        <w:tc>
          <w:tcPr>
            <w:tcW w:type="dxa" w:w="4176"/>
            <w:vAlign w:val="center"/>
          </w:tcPr>
          <w:p>
            <w:r/>
            <w:r>
              <w:rPr>
                <w:b w:val="0"/>
                <w:sz w:val="16"/>
              </w:rPr>
              <w:t>issue_id, issue_code</w:t>
            </w:r>
          </w:p>
        </w:tc>
        <w:tc>
          <w:tcPr>
            <w:tcW w:type="dxa" w:w="4608"/>
            <w:vAlign w:val="center"/>
          </w:tcPr>
          <w:p>
            <w:r/>
            <w:r>
              <w:rPr>
                <w:b w:val="0"/>
                <w:sz w:val="16"/>
              </w:rPr>
              <w:t>Required; route uses issue_id</w:t>
            </w:r>
          </w:p>
        </w:tc>
      </w:tr>
      <w:tr>
        <w:tc>
          <w:tcPr>
            <w:tcW w:type="dxa" w:w="1728"/>
            <w:vAlign w:val="center"/>
            <w:shd w:fill="F5F7F9"/>
          </w:tcPr>
          <w:p>
            <w:r/>
            <w:r>
              <w:rPr>
                <w:b w:val="0"/>
                <w:sz w:val="16"/>
              </w:rPr>
              <w:t>Context</w:t>
            </w:r>
          </w:p>
        </w:tc>
        <w:tc>
          <w:tcPr>
            <w:tcW w:type="dxa" w:w="4176"/>
            <w:vAlign w:val="center"/>
            <w:shd w:fill="F5F7F9"/>
          </w:tcPr>
          <w:p>
            <w:r/>
            <w:r>
              <w:rPr>
                <w:b w:val="0"/>
                <w:sz w:val="16"/>
              </w:rPr>
              <w:t>ship_id, cruise_id?, cabin_id?</w:t>
            </w:r>
          </w:p>
        </w:tc>
        <w:tc>
          <w:tcPr>
            <w:tcW w:type="dxa" w:w="4608"/>
            <w:vAlign w:val="center"/>
            <w:shd w:fill="F5F7F9"/>
          </w:tcPr>
          <w:p>
            <w:r/>
            <w:r>
              <w:rPr>
                <w:b w:val="0"/>
                <w:sz w:val="16"/>
              </w:rPr>
              <w:t>Ship required; CABIN requires cabin_id</w:t>
            </w:r>
          </w:p>
        </w:tc>
      </w:tr>
      <w:tr>
        <w:tc>
          <w:tcPr>
            <w:tcW w:type="dxa" w:w="1728"/>
            <w:vAlign w:val="center"/>
          </w:tcPr>
          <w:p>
            <w:r/>
            <w:r>
              <w:rPr>
                <w:b w:val="0"/>
                <w:sz w:val="16"/>
              </w:rPr>
              <w:t>Classification</w:t>
            </w:r>
          </w:p>
        </w:tc>
        <w:tc>
          <w:tcPr>
            <w:tcW w:type="dxa" w:w="4176"/>
            <w:vAlign w:val="center"/>
          </w:tcPr>
          <w:p>
            <w:r/>
            <w:r>
              <w:rPr>
                <w:b w:val="0"/>
                <w:sz w:val="16"/>
              </w:rPr>
              <w:t>issue_type, severity, status</w:t>
            </w:r>
          </w:p>
        </w:tc>
        <w:tc>
          <w:tcPr>
            <w:tcW w:type="dxa" w:w="4608"/>
            <w:vAlign w:val="center"/>
          </w:tcPr>
          <w:p>
            <w:r/>
            <w:r>
              <w:rPr>
                <w:b w:val="0"/>
                <w:sz w:val="16"/>
              </w:rPr>
              <w:t>Exact SQL enum values</w:t>
            </w:r>
          </w:p>
        </w:tc>
      </w:tr>
      <w:tr>
        <w:tc>
          <w:tcPr>
            <w:tcW w:type="dxa" w:w="1728"/>
            <w:vAlign w:val="center"/>
            <w:shd w:fill="F5F7F9"/>
          </w:tcPr>
          <w:p>
            <w:r/>
            <w:r>
              <w:rPr>
                <w:b w:val="0"/>
                <w:sz w:val="16"/>
              </w:rPr>
              <w:t>Content</w:t>
            </w:r>
          </w:p>
        </w:tc>
        <w:tc>
          <w:tcPr>
            <w:tcW w:type="dxa" w:w="4176"/>
            <w:vAlign w:val="center"/>
            <w:shd w:fill="F5F7F9"/>
          </w:tcPr>
          <w:p>
            <w:r/>
            <w:r>
              <w:rPr>
                <w:b w:val="0"/>
                <w:sz w:val="16"/>
              </w:rPr>
              <w:t>description</w:t>
            </w:r>
          </w:p>
        </w:tc>
        <w:tc>
          <w:tcPr>
            <w:tcW w:type="dxa" w:w="4608"/>
            <w:vAlign w:val="center"/>
            <w:shd w:fill="F5F7F9"/>
          </w:tcPr>
          <w:p>
            <w:r/>
            <w:r>
              <w:rPr>
                <w:b w:val="0"/>
                <w:sz w:val="16"/>
              </w:rPr>
              <w:t>Required scalar text</w:t>
            </w:r>
          </w:p>
        </w:tc>
      </w:tr>
      <w:tr>
        <w:tc>
          <w:tcPr>
            <w:tcW w:type="dxa" w:w="1728"/>
            <w:vAlign w:val="center"/>
          </w:tcPr>
          <w:p>
            <w:r/>
            <w:r>
              <w:rPr>
                <w:b w:val="0"/>
                <w:sz w:val="16"/>
              </w:rPr>
              <w:t>Ownership</w:t>
            </w:r>
          </w:p>
        </w:tc>
        <w:tc>
          <w:tcPr>
            <w:tcW w:type="dxa" w:w="4176"/>
            <w:vAlign w:val="center"/>
          </w:tcPr>
          <w:p>
            <w:r/>
            <w:r>
              <w:rPr>
                <w:b w:val="0"/>
                <w:sz w:val="16"/>
              </w:rPr>
              <w:t>reported_by, assigned_to?, resolved_by?</w:t>
            </w:r>
          </w:p>
        </w:tc>
        <w:tc>
          <w:tcPr>
            <w:tcW w:type="dxa" w:w="4608"/>
            <w:vAlign w:val="center"/>
          </w:tcPr>
          <w:p>
            <w:r/>
            <w:r>
              <w:rPr>
                <w:b w:val="0"/>
                <w:sz w:val="16"/>
              </w:rPr>
              <w:t>IDs resolved through lookup maps</w:t>
            </w:r>
          </w:p>
        </w:tc>
      </w:tr>
      <w:tr>
        <w:tc>
          <w:tcPr>
            <w:tcW w:type="dxa" w:w="1728"/>
            <w:vAlign w:val="center"/>
            <w:shd w:fill="F5F7F9"/>
          </w:tcPr>
          <w:p>
            <w:r/>
            <w:r>
              <w:rPr>
                <w:b w:val="0"/>
                <w:sz w:val="16"/>
              </w:rPr>
              <w:t>Timestamps</w:t>
            </w:r>
          </w:p>
        </w:tc>
        <w:tc>
          <w:tcPr>
            <w:tcW w:type="dxa" w:w="4176"/>
            <w:vAlign w:val="center"/>
            <w:shd w:fill="F5F7F9"/>
          </w:tcPr>
          <w:p>
            <w:r/>
            <w:r>
              <w:rPr>
                <w:b w:val="0"/>
                <w:sz w:val="16"/>
              </w:rPr>
              <w:t>reported_at, resolved_at?, created_at, updated_at</w:t>
            </w:r>
          </w:p>
        </w:tc>
        <w:tc>
          <w:tcPr>
            <w:tcW w:type="dxa" w:w="4608"/>
            <w:vAlign w:val="center"/>
            <w:shd w:fill="F5F7F9"/>
          </w:tcPr>
          <w:p>
            <w:r/>
            <w:r>
              <w:rPr>
                <w:b w:val="0"/>
                <w:sz w:val="16"/>
              </w:rPr>
              <w:t>Timeline projection, not audit</w:t>
            </w:r>
          </w:p>
        </w:tc>
      </w:tr>
      <w:tr>
        <w:tc>
          <w:tcPr>
            <w:tcW w:type="dxa" w:w="1728"/>
            <w:vAlign w:val="center"/>
          </w:tcPr>
          <w:p>
            <w:r/>
            <w:r>
              <w:rPr>
                <w:b w:val="0"/>
                <w:sz w:val="16"/>
              </w:rPr>
              <w:t>Resolution</w:t>
            </w:r>
          </w:p>
        </w:tc>
        <w:tc>
          <w:tcPr>
            <w:tcW w:type="dxa" w:w="4176"/>
            <w:vAlign w:val="center"/>
          </w:tcPr>
          <w:p>
            <w:r/>
            <w:r>
              <w:rPr>
                <w:b w:val="0"/>
                <w:sz w:val="16"/>
              </w:rPr>
              <w:t>resolution?</w:t>
            </w:r>
          </w:p>
        </w:tc>
        <w:tc>
          <w:tcPr>
            <w:tcW w:type="dxa" w:w="4608"/>
            <w:vAlign w:val="center"/>
          </w:tcPr>
          <w:p>
            <w:r/>
            <w:r>
              <w:rPr>
                <w:b w:val="0"/>
                <w:sz w:val="16"/>
              </w:rPr>
              <w:t>Single nullable text value</w:t>
            </w:r>
          </w:p>
        </w:tc>
      </w:tr>
    </w:tbl>
    <w:p>
      <w:pPr>
        <w:spacing w:after="80" w:line="252" w:lineRule="auto"/>
      </w:pPr>
    </w:p>
    <w:p>
      <w:pPr>
        <w:pStyle w:val="Heading3"/>
        <w:spacing w:after="80" w:line="252" w:lineRule="auto"/>
      </w:pPr>
      <w:r>
        <w:t>OperationalRegulation record</w:t>
      </w:r>
    </w:p>
    <w:tbl>
      <w:tblPr>
        <w:tblStyle w:val="Table4"/>
        <w:tblW w:type="auto" w:w="0"/>
        <w:jc w:val="center"/>
        <w:tblLook w:firstColumn="1" w:firstRow="1" w:lastColumn="0" w:lastRow="0" w:noHBand="0" w:noVBand="1" w:val="04A0"/>
      </w:tblPr>
      <w:tblGrid>
        <w:gridCol w:w="3389"/>
        <w:gridCol w:w="3389"/>
        <w:gridCol w:w="3389"/>
      </w:tblGrid>
      <w:tr>
        <w:tc>
          <w:tcPr>
            <w:tcW w:type="dxa" w:w="1800"/>
            <w:vAlign w:val="center"/>
            <w:shd w:fill="123042"/>
          </w:tcPr>
          <w:p>
            <w:r/>
            <w:r>
              <w:rPr>
                <w:b/>
                <w:color w:val="FFFFFF"/>
                <w:sz w:val="18"/>
              </w:rPr>
              <w:t>Field group</w:t>
            </w:r>
          </w:p>
        </w:tc>
        <w:tc>
          <w:tcPr>
            <w:tcW w:type="dxa" w:w="4752"/>
            <w:vAlign w:val="center"/>
            <w:shd w:fill="123042"/>
          </w:tcPr>
          <w:p>
            <w:r/>
            <w:r>
              <w:rPr>
                <w:b/>
                <w:color w:val="FFFFFF"/>
                <w:sz w:val="18"/>
              </w:rPr>
              <w:t>Allowed values / relationship</w:t>
            </w:r>
          </w:p>
        </w:tc>
        <w:tc>
          <w:tcPr>
            <w:tcW w:type="dxa" w:w="3960"/>
            <w:vAlign w:val="center"/>
            <w:shd w:fill="123042"/>
          </w:tcPr>
          <w:p>
            <w:r/>
            <w:r>
              <w:rPr>
                <w:b/>
                <w:color w:val="FFFFFF"/>
                <w:sz w:val="18"/>
              </w:rPr>
              <w:t>Frontend rule</w:t>
            </w:r>
          </w:p>
        </w:tc>
      </w:tr>
      <w:tr>
        <w:tc>
          <w:tcPr>
            <w:tcW w:type="dxa" w:w="1800"/>
            <w:vAlign w:val="center"/>
          </w:tcPr>
          <w:p>
            <w:r/>
            <w:r>
              <w:rPr>
                <w:b w:val="0"/>
                <w:sz w:val="16"/>
              </w:rPr>
              <w:t>type</w:t>
            </w:r>
          </w:p>
        </w:tc>
        <w:tc>
          <w:tcPr>
            <w:tcW w:type="dxa" w:w="4752"/>
            <w:vAlign w:val="center"/>
          </w:tcPr>
          <w:p>
            <w:r/>
            <w:r>
              <w:rPr>
                <w:b w:val="0"/>
                <w:sz w:val="16"/>
              </w:rPr>
              <w:t>SAFETY, CAPACITY, SPEED, WEATHER, ENVIRONMENT, HEALTH</w:t>
            </w:r>
          </w:p>
        </w:tc>
        <w:tc>
          <w:tcPr>
            <w:tcW w:type="dxa" w:w="3960"/>
            <w:vAlign w:val="center"/>
          </w:tcPr>
          <w:p>
            <w:r/>
            <w:r>
              <w:rPr>
                <w:b w:val="0"/>
                <w:sz w:val="16"/>
              </w:rPr>
              <w:t>Exact option list</w:t>
            </w:r>
          </w:p>
        </w:tc>
      </w:tr>
      <w:tr>
        <w:tc>
          <w:tcPr>
            <w:tcW w:type="dxa" w:w="1800"/>
            <w:vAlign w:val="center"/>
            <w:shd w:fill="F5F7F9"/>
          </w:tcPr>
          <w:p>
            <w:r/>
            <w:r>
              <w:rPr>
                <w:b w:val="0"/>
                <w:sz w:val="16"/>
              </w:rPr>
              <w:t>scope</w:t>
            </w:r>
          </w:p>
        </w:tc>
        <w:tc>
          <w:tcPr>
            <w:tcW w:type="dxa" w:w="4752"/>
            <w:vAlign w:val="center"/>
            <w:shd w:fill="F5F7F9"/>
          </w:tcPr>
          <w:p>
            <w:r/>
            <w:r>
              <w:rPr>
                <w:b w:val="0"/>
                <w:sz w:val="16"/>
              </w:rPr>
              <w:t>GLOBAL, SHIP, CRUISE</w:t>
            </w:r>
          </w:p>
        </w:tc>
        <w:tc>
          <w:tcPr>
            <w:tcW w:type="dxa" w:w="3960"/>
            <w:vAlign w:val="center"/>
            <w:shd w:fill="F5F7F9"/>
          </w:tcPr>
          <w:p>
            <w:r/>
            <w:r>
              <w:rPr>
                <w:b w:val="0"/>
                <w:sz w:val="16"/>
              </w:rPr>
              <w:t>Does not imply an assignment</w:t>
            </w:r>
          </w:p>
        </w:tc>
      </w:tr>
      <w:tr>
        <w:tc>
          <w:tcPr>
            <w:tcW w:type="dxa" w:w="1800"/>
            <w:vAlign w:val="center"/>
          </w:tcPr>
          <w:p>
            <w:r/>
            <w:r>
              <w:rPr>
                <w:b w:val="0"/>
                <w:sz w:val="16"/>
              </w:rPr>
              <w:t>unit</w:t>
            </w:r>
          </w:p>
        </w:tc>
        <w:tc>
          <w:tcPr>
            <w:tcW w:type="dxa" w:w="4752"/>
            <w:vAlign w:val="center"/>
          </w:tcPr>
          <w:p>
            <w:r/>
            <w:r>
              <w:rPr>
                <w:b w:val="0"/>
                <w:sz w:val="16"/>
              </w:rPr>
              <w:t>KNOT, KM, METER, PERCENT, PERSON, CELSIUS, NONE, null</w:t>
            </w:r>
          </w:p>
        </w:tc>
        <w:tc>
          <w:tcPr>
            <w:tcW w:type="dxa" w:w="3960"/>
            <w:vAlign w:val="center"/>
          </w:tcPr>
          <w:p>
            <w:r/>
            <w:r>
              <w:rPr>
                <w:b w:val="0"/>
                <w:sz w:val="16"/>
              </w:rPr>
              <w:t>Exact option list</w:t>
            </w:r>
          </w:p>
        </w:tc>
      </w:tr>
      <w:tr>
        <w:tc>
          <w:tcPr>
            <w:tcW w:type="dxa" w:w="1800"/>
            <w:vAlign w:val="center"/>
            <w:shd w:fill="F5F7F9"/>
          </w:tcPr>
          <w:p>
            <w:r/>
            <w:r>
              <w:rPr>
                <w:b w:val="0"/>
                <w:sz w:val="16"/>
              </w:rPr>
              <w:t>status</w:t>
            </w:r>
          </w:p>
        </w:tc>
        <w:tc>
          <w:tcPr>
            <w:tcW w:type="dxa" w:w="4752"/>
            <w:vAlign w:val="center"/>
            <w:shd w:fill="F5F7F9"/>
          </w:tcPr>
          <w:p>
            <w:r/>
            <w:r>
              <w:rPr>
                <w:b w:val="0"/>
                <w:sz w:val="16"/>
              </w:rPr>
              <w:t>DRAFT, ACTIVE, INACTIVE, EXPIRED</w:t>
            </w:r>
          </w:p>
        </w:tc>
        <w:tc>
          <w:tcPr>
            <w:tcW w:type="dxa" w:w="3960"/>
            <w:vAlign w:val="center"/>
            <w:shd w:fill="F5F7F9"/>
          </w:tcPr>
          <w:p>
            <w:r/>
            <w:r>
              <w:rPr>
                <w:b w:val="0"/>
                <w:sz w:val="16"/>
              </w:rPr>
              <w:t>Configured status</w:t>
            </w:r>
          </w:p>
        </w:tc>
      </w:tr>
      <w:tr>
        <w:tc>
          <w:tcPr>
            <w:tcW w:type="dxa" w:w="1800"/>
            <w:vAlign w:val="center"/>
          </w:tcPr>
          <w:p>
            <w:r/>
            <w:r>
              <w:rPr>
                <w:b w:val="0"/>
                <w:sz w:val="16"/>
              </w:rPr>
              <w:t>effective window</w:t>
            </w:r>
          </w:p>
        </w:tc>
        <w:tc>
          <w:tcPr>
            <w:tcW w:type="dxa" w:w="4752"/>
            <w:vAlign w:val="center"/>
          </w:tcPr>
          <w:p>
            <w:r/>
            <w:r>
              <w:rPr>
                <w:b w:val="0"/>
                <w:sz w:val="16"/>
              </w:rPr>
              <w:t>effective_from; effective_to nullable and later</w:t>
            </w:r>
          </w:p>
        </w:tc>
        <w:tc>
          <w:tcPr>
            <w:tcW w:type="dxa" w:w="3960"/>
            <w:vAlign w:val="center"/>
          </w:tcPr>
          <w:p>
            <w:r/>
            <w:r>
              <w:rPr>
                <w:b w:val="0"/>
                <w:sz w:val="16"/>
              </w:rPr>
              <w:t>Derive display status</w:t>
            </w:r>
          </w:p>
        </w:tc>
      </w:tr>
      <w:tr>
        <w:tc>
          <w:tcPr>
            <w:tcW w:type="dxa" w:w="1800"/>
            <w:vAlign w:val="center"/>
            <w:shd w:fill="F5F7F9"/>
          </w:tcPr>
          <w:p>
            <w:r/>
            <w:r>
              <w:rPr>
                <w:b w:val="0"/>
                <w:sz w:val="16"/>
              </w:rPr>
              <w:t>assignment</w:t>
            </w:r>
          </w:p>
        </w:tc>
        <w:tc>
          <w:tcPr>
            <w:tcW w:type="dxa" w:w="4752"/>
            <w:vAlign w:val="center"/>
            <w:shd w:fill="F5F7F9"/>
          </w:tcPr>
          <w:p>
            <w:r/>
            <w:r>
              <w:rPr>
                <w:b w:val="0"/>
                <w:sz w:val="16"/>
              </w:rPr>
              <w:t>ShipRegulation / CruiseRegulation composite joins</w:t>
            </w:r>
          </w:p>
        </w:tc>
        <w:tc>
          <w:tcPr>
            <w:tcW w:type="dxa" w:w="3960"/>
            <w:vAlign w:val="center"/>
            <w:shd w:fill="F5F7F9"/>
          </w:tcPr>
          <w:p>
            <w:r/>
            <w:r>
              <w:rPr>
                <w:b w:val="0"/>
                <w:sz w:val="16"/>
              </w:rPr>
              <w:t>Only direct joins are removable</w:t>
            </w:r>
          </w:p>
        </w:tc>
      </w:tr>
    </w:tbl>
    <w:p>
      <w:pPr>
        <w:spacing w:after="80" w:line="252" w:lineRule="auto"/>
      </w:pPr>
    </w:p>
    <w:p>
      <w:pPr>
        <w:pStyle w:val="Heading3"/>
        <w:spacing w:after="80" w:line="252" w:lineRule="auto"/>
      </w:pPr>
      <w:r>
        <w:t>OIM action contract</w:t>
      </w:r>
    </w:p>
    <w:tbl>
      <w:tblPr>
        <w:tblStyle w:val="Table4"/>
        <w:tblW w:type="auto" w:w="0"/>
        <w:jc w:val="center"/>
        <w:tblLook w:firstColumn="1" w:firstRow="1" w:lastColumn="0" w:lastRow="0" w:noHBand="0" w:noVBand="1" w:val="04A0"/>
      </w:tblPr>
      <w:tblGrid>
        <w:gridCol w:w="3389"/>
        <w:gridCol w:w="3389"/>
        <w:gridCol w:w="3389"/>
      </w:tblGrid>
      <w:tr>
        <w:tc>
          <w:tcPr>
            <w:tcW w:type="dxa" w:w="2232"/>
            <w:vAlign w:val="center"/>
            <w:shd w:fill="123042"/>
          </w:tcPr>
          <w:p>
            <w:r/>
            <w:r>
              <w:rPr>
                <w:b/>
                <w:color w:val="FFFFFF"/>
                <w:sz w:val="18"/>
              </w:rPr>
              <w:t>Action</w:t>
            </w:r>
          </w:p>
        </w:tc>
        <w:tc>
          <w:tcPr>
            <w:tcW w:type="dxa" w:w="3600"/>
            <w:vAlign w:val="center"/>
            <w:shd w:fill="123042"/>
          </w:tcPr>
          <w:p>
            <w:r/>
            <w:r>
              <w:rPr>
                <w:b/>
                <w:color w:val="FFFFFF"/>
                <w:sz w:val="18"/>
              </w:rPr>
              <w:t>Precondition</w:t>
            </w:r>
          </w:p>
        </w:tc>
        <w:tc>
          <w:tcPr>
            <w:tcW w:type="dxa" w:w="4680"/>
            <w:vAlign w:val="center"/>
            <w:shd w:fill="123042"/>
          </w:tcPr>
          <w:p>
            <w:r/>
            <w:r>
              <w:rPr>
                <w:b/>
                <w:color w:val="FFFFFF"/>
                <w:sz w:val="18"/>
              </w:rPr>
              <w:t>Mutation / result</w:t>
            </w:r>
          </w:p>
        </w:tc>
      </w:tr>
      <w:tr>
        <w:tc>
          <w:tcPr>
            <w:tcW w:type="dxa" w:w="2232"/>
            <w:vAlign w:val="center"/>
          </w:tcPr>
          <w:p>
            <w:r/>
            <w:r>
              <w:rPr>
                <w:b w:val="0"/>
                <w:sz w:val="16"/>
              </w:rPr>
              <w:t>Assign Handler</w:t>
            </w:r>
          </w:p>
        </w:tc>
        <w:tc>
          <w:tcPr>
            <w:tcW w:type="dxa" w:w="3600"/>
            <w:vAlign w:val="center"/>
          </w:tcPr>
          <w:p>
            <w:r/>
            <w:r>
              <w:rPr>
                <w:b w:val="0"/>
                <w:sz w:val="16"/>
              </w:rPr>
              <w:t>OPEN</w:t>
            </w:r>
          </w:p>
        </w:tc>
        <w:tc>
          <w:tcPr>
            <w:tcW w:type="dxa" w:w="4680"/>
            <w:vAlign w:val="center"/>
          </w:tcPr>
          <w:p>
            <w:r/>
            <w:r>
              <w:rPr>
                <w:b w:val="0"/>
                <w:sz w:val="16"/>
              </w:rPr>
              <w:t>assigned_to changes; status stays OPEN</w:t>
            </w:r>
          </w:p>
        </w:tc>
      </w:tr>
      <w:tr>
        <w:tc>
          <w:tcPr>
            <w:tcW w:type="dxa" w:w="2232"/>
            <w:vAlign w:val="center"/>
            <w:shd w:fill="F5F7F9"/>
          </w:tcPr>
          <w:p>
            <w:r/>
            <w:r>
              <w:rPr>
                <w:b w:val="0"/>
                <w:sz w:val="16"/>
              </w:rPr>
              <w:t>Start Handling</w:t>
            </w:r>
          </w:p>
        </w:tc>
        <w:tc>
          <w:tcPr>
            <w:tcW w:type="dxa" w:w="3600"/>
            <w:vAlign w:val="center"/>
            <w:shd w:fill="F5F7F9"/>
          </w:tcPr>
          <w:p>
            <w:r/>
            <w:r>
              <w:rPr>
                <w:b w:val="0"/>
                <w:sz w:val="16"/>
              </w:rPr>
              <w:t>OPEN + assigned_to</w:t>
            </w:r>
          </w:p>
        </w:tc>
        <w:tc>
          <w:tcPr>
            <w:tcW w:type="dxa" w:w="4680"/>
            <w:vAlign w:val="center"/>
            <w:shd w:fill="F5F7F9"/>
          </w:tcPr>
          <w:p>
            <w:r/>
            <w:r>
              <w:rPr>
                <w:b w:val="0"/>
                <w:sz w:val="16"/>
              </w:rPr>
              <w:t>status → IN_PROGRESS</w:t>
            </w:r>
          </w:p>
        </w:tc>
      </w:tr>
      <w:tr>
        <w:tc>
          <w:tcPr>
            <w:tcW w:type="dxa" w:w="2232"/>
            <w:vAlign w:val="center"/>
          </w:tcPr>
          <w:p>
            <w:r/>
            <w:r>
              <w:rPr>
                <w:b w:val="0"/>
                <w:sz w:val="16"/>
              </w:rPr>
              <w:t>Record Resolution</w:t>
            </w:r>
          </w:p>
        </w:tc>
        <w:tc>
          <w:tcPr>
            <w:tcW w:type="dxa" w:w="3600"/>
            <w:vAlign w:val="center"/>
          </w:tcPr>
          <w:p>
            <w:r/>
            <w:r>
              <w:rPr>
                <w:b w:val="0"/>
                <w:sz w:val="16"/>
              </w:rPr>
              <w:t>IN_PROGRESS + resolution</w:t>
            </w:r>
          </w:p>
        </w:tc>
        <w:tc>
          <w:tcPr>
            <w:tcW w:type="dxa" w:w="4680"/>
            <w:vAlign w:val="center"/>
          </w:tcPr>
          <w:p>
            <w:r/>
            <w:r>
              <w:rPr>
                <w:b w:val="0"/>
                <w:sz w:val="16"/>
              </w:rPr>
              <w:t>resolution fields; status → RESOLVED</w:t>
            </w:r>
          </w:p>
        </w:tc>
      </w:tr>
      <w:tr>
        <w:tc>
          <w:tcPr>
            <w:tcW w:type="dxa" w:w="2232"/>
            <w:vAlign w:val="center"/>
            <w:shd w:fill="F5F7F9"/>
          </w:tcPr>
          <w:p>
            <w:r/>
            <w:r>
              <w:rPr>
                <w:b w:val="0"/>
                <w:sz w:val="16"/>
              </w:rPr>
              <w:t>Verify Resolution</w:t>
            </w:r>
          </w:p>
        </w:tc>
        <w:tc>
          <w:tcPr>
            <w:tcW w:type="dxa" w:w="3600"/>
            <w:vAlign w:val="center"/>
            <w:shd w:fill="F5F7F9"/>
          </w:tcPr>
          <w:p>
            <w:r/>
            <w:r>
              <w:rPr>
                <w:b w:val="0"/>
                <w:sz w:val="16"/>
              </w:rPr>
              <w:t>RESOLVED + complete fields</w:t>
            </w:r>
          </w:p>
        </w:tc>
        <w:tc>
          <w:tcPr>
            <w:tcW w:type="dxa" w:w="4680"/>
            <w:vAlign w:val="center"/>
            <w:shd w:fill="F5F7F9"/>
          </w:tcPr>
          <w:p>
            <w:r/>
            <w:r>
              <w:rPr>
                <w:b w:val="0"/>
                <w:sz w:val="16"/>
              </w:rPr>
              <w:t>Precheck only; no VERIFIED state</w:t>
            </w:r>
          </w:p>
        </w:tc>
      </w:tr>
      <w:tr>
        <w:tc>
          <w:tcPr>
            <w:tcW w:type="dxa" w:w="2232"/>
            <w:vAlign w:val="center"/>
          </w:tcPr>
          <w:p>
            <w:r/>
            <w:r>
              <w:rPr>
                <w:b w:val="0"/>
                <w:sz w:val="16"/>
              </w:rPr>
              <w:t>Close</w:t>
            </w:r>
          </w:p>
        </w:tc>
        <w:tc>
          <w:tcPr>
            <w:tcW w:type="dxa" w:w="3600"/>
            <w:vAlign w:val="center"/>
          </w:tcPr>
          <w:p>
            <w:r/>
            <w:r>
              <w:rPr>
                <w:b w:val="0"/>
                <w:sz w:val="16"/>
              </w:rPr>
              <w:t>RESOLVED + complete fields</w:t>
            </w:r>
          </w:p>
        </w:tc>
        <w:tc>
          <w:tcPr>
            <w:tcW w:type="dxa" w:w="4680"/>
            <w:vAlign w:val="center"/>
          </w:tcPr>
          <w:p>
            <w:r/>
            <w:r>
              <w:rPr>
                <w:b w:val="0"/>
                <w:sz w:val="16"/>
              </w:rPr>
              <w:t>status → CLOSED</w:t>
            </w:r>
          </w:p>
        </w:tc>
      </w:tr>
      <w:tr>
        <w:tc>
          <w:tcPr>
            <w:tcW w:type="dxa" w:w="2232"/>
            <w:vAlign w:val="center"/>
            <w:shd w:fill="F5F7F9"/>
          </w:tcPr>
          <w:p>
            <w:r/>
            <w:r>
              <w:rPr>
                <w:b w:val="0"/>
                <w:sz w:val="16"/>
              </w:rPr>
              <w:t>Reopen</w:t>
            </w:r>
          </w:p>
        </w:tc>
        <w:tc>
          <w:tcPr>
            <w:tcW w:type="dxa" w:w="3600"/>
            <w:vAlign w:val="center"/>
            <w:shd w:fill="F5F7F9"/>
          </w:tcPr>
          <w:p>
            <w:r/>
            <w:r>
              <w:rPr>
                <w:b w:val="0"/>
                <w:sz w:val="16"/>
              </w:rPr>
              <w:t>RESOLVED</w:t>
            </w:r>
          </w:p>
        </w:tc>
        <w:tc>
          <w:tcPr>
            <w:tcW w:type="dxa" w:w="4680"/>
            <w:vAlign w:val="center"/>
            <w:shd w:fill="F5F7F9"/>
          </w:tcPr>
          <w:p>
            <w:r/>
            <w:r>
              <w:rPr>
                <w:b w:val="0"/>
                <w:sz w:val="16"/>
              </w:rPr>
              <w:t>status → IN_PROGRESS; resolution retained</w:t>
            </w:r>
          </w:p>
        </w:tc>
      </w:tr>
    </w:tbl>
    <w:p>
      <w:pPr>
        <w:spacing w:after="80" w:line="252" w:lineRule="auto"/>
      </w:pPr>
    </w:p>
    <w:p>
      <w:pPr>
        <w:pStyle w:val="Heading1"/>
        <w:spacing w:after="80" w:line="252" w:lineRule="auto"/>
      </w:pPr>
      <w:r>
        <w:t>7. Consistency, Idempotency, and Replay</w:t>
      </w:r>
    </w:p>
    <w:tbl>
      <w:tblPr>
        <w:tblStyle w:val="Table4"/>
        <w:tblW w:type="auto" w:w="0"/>
        <w:jc w:val="center"/>
        <w:tblLook w:firstColumn="1" w:firstRow="1" w:lastColumn="0" w:lastRow="0" w:noHBand="0" w:noVBand="1" w:val="04A0"/>
      </w:tblPr>
      <w:tblGrid>
        <w:gridCol w:w="3389"/>
        <w:gridCol w:w="3389"/>
        <w:gridCol w:w="3389"/>
      </w:tblGrid>
      <w:tr>
        <w:tc>
          <w:tcPr>
            <w:tcW w:type="dxa" w:w="2088"/>
            <w:vAlign w:val="center"/>
            <w:shd w:fill="123042"/>
          </w:tcPr>
          <w:p>
            <w:r/>
            <w:r>
              <w:rPr>
                <w:b/>
                <w:color w:val="FFFFFF"/>
                <w:sz w:val="18"/>
              </w:rPr>
              <w:t>Scenario</w:t>
            </w:r>
          </w:p>
        </w:tc>
        <w:tc>
          <w:tcPr>
            <w:tcW w:type="dxa" w:w="3888"/>
            <w:vAlign w:val="center"/>
            <w:shd w:fill="123042"/>
          </w:tcPr>
          <w:p>
            <w:r/>
            <w:r>
              <w:rPr>
                <w:b/>
                <w:color w:val="FFFFFF"/>
                <w:sz w:val="18"/>
              </w:rPr>
              <w:t>Expected behavior</w:t>
            </w:r>
          </w:p>
        </w:tc>
        <w:tc>
          <w:tcPr>
            <w:tcW w:type="dxa" w:w="4536"/>
            <w:vAlign w:val="center"/>
            <w:shd w:fill="123042"/>
          </w:tcPr>
          <w:p>
            <w:r/>
            <w:r>
              <w:rPr>
                <w:b/>
                <w:color w:val="FFFFFF"/>
                <w:sz w:val="18"/>
              </w:rPr>
              <w:t>Reasoning</w:t>
            </w:r>
          </w:p>
        </w:tc>
      </w:tr>
      <w:tr>
        <w:tc>
          <w:tcPr>
            <w:tcW w:type="dxa" w:w="2088"/>
            <w:vAlign w:val="center"/>
          </w:tcPr>
          <w:p>
            <w:r/>
            <w:r>
              <w:rPr>
                <w:b w:val="0"/>
                <w:sz w:val="16"/>
              </w:rPr>
              <w:t>Duplicate submit</w:t>
            </w:r>
          </w:p>
        </w:tc>
        <w:tc>
          <w:tcPr>
            <w:tcW w:type="dxa" w:w="3888"/>
            <w:vAlign w:val="center"/>
          </w:tcPr>
          <w:p>
            <w:r/>
            <w:r>
              <w:rPr>
                <w:b w:val="0"/>
                <w:sz w:val="16"/>
              </w:rPr>
              <w:t>Pending control disables repeated submit</w:t>
            </w:r>
          </w:p>
        </w:tc>
        <w:tc>
          <w:tcPr>
            <w:tcW w:type="dxa" w:w="4536"/>
            <w:vAlign w:val="center"/>
          </w:tcPr>
          <w:p>
            <w:r/>
            <w:r>
              <w:rPr>
                <w:b w:val="0"/>
                <w:sz w:val="16"/>
              </w:rPr>
              <w:t>Avoid duplicate mock mutation</w:t>
            </w:r>
          </w:p>
        </w:tc>
      </w:tr>
      <w:tr>
        <w:tc>
          <w:tcPr>
            <w:tcW w:type="dxa" w:w="2088"/>
            <w:vAlign w:val="center"/>
            <w:shd w:fill="F5F7F9"/>
          </w:tcPr>
          <w:p>
            <w:r/>
            <w:r>
              <w:rPr>
                <w:b w:val="0"/>
                <w:sz w:val="16"/>
              </w:rPr>
              <w:t>Stale edit</w:t>
            </w:r>
          </w:p>
        </w:tc>
        <w:tc>
          <w:tcPr>
            <w:tcW w:type="dxa" w:w="3888"/>
            <w:vAlign w:val="center"/>
            <w:shd w:fill="F5F7F9"/>
          </w:tcPr>
          <w:p>
            <w:r/>
            <w:r>
              <w:rPr>
                <w:b w:val="0"/>
                <w:sz w:val="16"/>
              </w:rPr>
              <w:t>Version precheck returns STALE_DATA</w:t>
            </w:r>
          </w:p>
        </w:tc>
        <w:tc>
          <w:tcPr>
            <w:tcW w:type="dxa" w:w="4536"/>
            <w:vAlign w:val="center"/>
            <w:shd w:fill="F5F7F9"/>
          </w:tcPr>
          <w:p>
            <w:r/>
            <w:r>
              <w:rPr>
                <w:b w:val="0"/>
                <w:sz w:val="16"/>
              </w:rPr>
              <w:t>Preserve the last accepted record</w:t>
            </w:r>
          </w:p>
        </w:tc>
      </w:tr>
      <w:tr>
        <w:tc>
          <w:tcPr>
            <w:tcW w:type="dxa" w:w="2088"/>
            <w:vAlign w:val="center"/>
          </w:tcPr>
          <w:p>
            <w:r/>
            <w:r>
              <w:rPr>
                <w:b w:val="0"/>
                <w:sz w:val="16"/>
              </w:rPr>
              <w:t>Late conflict result</w:t>
            </w:r>
          </w:p>
        </w:tc>
        <w:tc>
          <w:tcPr>
            <w:tcW w:type="dxa" w:w="3888"/>
            <w:vAlign w:val="center"/>
          </w:tcPr>
          <w:p>
            <w:r/>
            <w:r>
              <w:rPr>
                <w:b w:val="0"/>
                <w:sz w:val="16"/>
              </w:rPr>
              <w:t>Discard result for old target/candidate</w:t>
            </w:r>
          </w:p>
        </w:tc>
        <w:tc>
          <w:tcPr>
            <w:tcW w:type="dxa" w:w="4536"/>
            <w:vAlign w:val="center"/>
          </w:tcPr>
          <w:p>
            <w:r/>
            <w:r>
              <w:rPr>
                <w:b w:val="0"/>
                <w:sz w:val="16"/>
              </w:rPr>
              <w:t>Prevent context mismatch</w:t>
            </w:r>
          </w:p>
        </w:tc>
      </w:tr>
      <w:tr>
        <w:tc>
          <w:tcPr>
            <w:tcW w:type="dxa" w:w="2088"/>
            <w:vAlign w:val="center"/>
            <w:shd w:fill="F5F7F9"/>
          </w:tcPr>
          <w:p>
            <w:r/>
            <w:r>
              <w:rPr>
                <w:b w:val="0"/>
                <w:sz w:val="16"/>
              </w:rPr>
              <w:t>Refresh</w:t>
            </w:r>
          </w:p>
        </w:tc>
        <w:tc>
          <w:tcPr>
            <w:tcW w:type="dxa" w:w="3888"/>
            <w:vAlign w:val="center"/>
            <w:shd w:fill="F5F7F9"/>
          </w:tcPr>
          <w:p>
            <w:r/>
            <w:r>
              <w:rPr>
                <w:b w:val="0"/>
                <w:sz w:val="16"/>
              </w:rPr>
              <w:t>Mock state resets to fixtures</w:t>
            </w:r>
          </w:p>
        </w:tc>
        <w:tc>
          <w:tcPr>
            <w:tcW w:type="dxa" w:w="4536"/>
            <w:vAlign w:val="center"/>
            <w:shd w:fill="F5F7F9"/>
          </w:tcPr>
          <w:p>
            <w:r/>
            <w:r>
              <w:rPr>
                <w:b w:val="0"/>
                <w:sz w:val="16"/>
              </w:rPr>
              <w:t>UI-only mode is intentionally non-durable</w:t>
            </w:r>
          </w:p>
        </w:tc>
      </w:tr>
      <w:tr>
        <w:tc>
          <w:tcPr>
            <w:tcW w:type="dxa" w:w="2088"/>
            <w:vAlign w:val="center"/>
          </w:tcPr>
          <w:p>
            <w:r/>
            <w:r>
              <w:rPr>
                <w:b w:val="0"/>
                <w:sz w:val="16"/>
              </w:rPr>
              <w:t>Missing detail ID</w:t>
            </w:r>
          </w:p>
        </w:tc>
        <w:tc>
          <w:tcPr>
            <w:tcW w:type="dxa" w:w="3888"/>
            <w:vAlign w:val="center"/>
          </w:tcPr>
          <w:p>
            <w:r/>
            <w:r>
              <w:rPr>
                <w:b w:val="0"/>
                <w:sz w:val="16"/>
              </w:rPr>
              <w:t>Render not-found state</w:t>
            </w:r>
          </w:p>
        </w:tc>
        <w:tc>
          <w:tcPr>
            <w:tcW w:type="dxa" w:w="4536"/>
            <w:vAlign w:val="center"/>
          </w:tcPr>
          <w:p>
            <w:r/>
            <w:r>
              <w:rPr>
                <w:b w:val="0"/>
                <w:sz w:val="16"/>
              </w:rPr>
              <w:t>Direct URLs remain deterministic</w:t>
            </w:r>
          </w:p>
        </w:tc>
      </w:tr>
    </w:tbl>
    <w:p>
      <w:pPr>
        <w:spacing w:after="80" w:line="252" w:lineRule="auto"/>
      </w:pPr>
    </w:p>
    <w:p>
      <w:pPr>
        <w:pStyle w:val="Heading1"/>
        <w:spacing w:after="80" w:line="252" w:lineRule="auto"/>
      </w:pPr>
      <w:r>
        <w:t>8. Security and Privacy Considerations</w:t>
      </w:r>
    </w:p>
    <w:p>
      <w:pPr>
        <w:spacing w:after="80" w:line="252" w:lineRule="auto"/>
        <w:ind w:left="317" w:hanging="230"/>
      </w:pPr>
      <w:r>
        <w:rPr>
          <w:b/>
        </w:rPr>
        <w:t xml:space="preserve">• </w:t>
      </w:r>
      <w:r>
        <w:t>No credentials, tokens, endpoint URLs or permission keys are added.</w:t>
      </w:r>
    </w:p>
    <w:p>
      <w:pPr>
        <w:spacing w:after="80" w:line="252" w:lineRule="auto"/>
        <w:ind w:left="317" w:hanging="230"/>
      </w:pPr>
      <w:r>
        <w:rPr>
          <w:b/>
        </w:rPr>
        <w:t xml:space="preserve">• </w:t>
      </w:r>
      <w:r>
        <w:t>Mock people/ship/cruise data is synthetic and explicitly labeled.</w:t>
      </w:r>
    </w:p>
    <w:p>
      <w:pPr>
        <w:spacing w:after="80" w:line="252" w:lineRule="auto"/>
        <w:ind w:left="317" w:hanging="230"/>
      </w:pPr>
      <w:r>
        <w:rPr>
          <w:b/>
        </w:rPr>
        <w:t xml:space="preserve">• </w:t>
      </w:r>
      <w:r>
        <w:t>Capabilities are adapter outputs; the client does not claim authoritative authorization.</w:t>
      </w:r>
    </w:p>
    <w:p>
      <w:pPr>
        <w:spacing w:after="80" w:line="252" w:lineRule="auto"/>
        <w:ind w:left="317" w:hanging="230"/>
      </w:pPr>
      <w:r>
        <w:rPr>
          <w:b/>
        </w:rPr>
        <w:t xml:space="preserve">• </w:t>
      </w:r>
      <w:r>
        <w:t>A future live adapter must enforce authentication and authorization server-side.</w:t>
      </w:r>
    </w:p>
    <w:p>
      <w:pPr>
        <w:spacing w:after="80" w:line="252" w:lineRule="auto"/>
        <w:ind w:left="317" w:hanging="230"/>
      </w:pPr>
      <w:r>
        <w:rPr>
          <w:b/>
        </w:rPr>
        <w:t xml:space="preserve">• </w:t>
      </w:r>
      <w:r>
        <w:t>Do not log resolution content or personal identifiers until the production logging policy exists.</w:t>
      </w:r>
    </w:p>
    <w:p>
      <w:pPr>
        <w:pStyle w:val="Heading1"/>
        <w:spacing w:after="80" w:line="252" w:lineRule="auto"/>
      </w:pPr>
      <w:r>
        <w:t>9. Operational Readiness</w:t>
      </w:r>
    </w:p>
    <w:tbl>
      <w:tblPr>
        <w:tblStyle w:val="Table4"/>
        <w:tblW w:type="auto" w:w="0"/>
        <w:jc w:val="center"/>
        <w:tblLook w:firstColumn="1" w:firstRow="1" w:lastColumn="0" w:lastRow="0" w:noHBand="0" w:noVBand="1" w:val="04A0"/>
      </w:tblPr>
      <w:tblGrid>
        <w:gridCol w:w="2541"/>
        <w:gridCol w:w="2541"/>
        <w:gridCol w:w="2541"/>
        <w:gridCol w:w="2541"/>
      </w:tblGrid>
      <w:tr>
        <w:tc>
          <w:tcPr>
            <w:tcW w:type="dxa" w:w="1800"/>
            <w:vAlign w:val="center"/>
            <w:shd w:fill="123042"/>
          </w:tcPr>
          <w:p>
            <w:r/>
            <w:r>
              <w:rPr>
                <w:b/>
                <w:color w:val="FFFFFF"/>
                <w:sz w:val="18"/>
              </w:rPr>
              <w:t>Signal</w:t>
            </w:r>
          </w:p>
        </w:tc>
        <w:tc>
          <w:tcPr>
            <w:tcW w:type="dxa" w:w="2448"/>
            <w:vAlign w:val="center"/>
            <w:shd w:fill="123042"/>
          </w:tcPr>
          <w:p>
            <w:r/>
            <w:r>
              <w:rPr>
                <w:b/>
                <w:color w:val="FFFFFF"/>
                <w:sz w:val="18"/>
              </w:rPr>
              <w:t>Gate</w:t>
            </w:r>
          </w:p>
        </w:tc>
        <w:tc>
          <w:tcPr>
            <w:tcW w:type="dxa" w:w="1728"/>
            <w:vAlign w:val="center"/>
            <w:shd w:fill="123042"/>
          </w:tcPr>
          <w:p>
            <w:r/>
            <w:r>
              <w:rPr>
                <w:b/>
                <w:color w:val="FFFFFF"/>
                <w:sz w:val="18"/>
              </w:rPr>
              <w:t>Owner</w:t>
            </w:r>
          </w:p>
        </w:tc>
        <w:tc>
          <w:tcPr>
            <w:tcW w:type="dxa" w:w="4464"/>
            <w:vAlign w:val="center"/>
            <w:shd w:fill="123042"/>
          </w:tcPr>
          <w:p>
            <w:r/>
            <w:r>
              <w:rPr>
                <w:b/>
                <w:color w:val="FFFFFF"/>
                <w:sz w:val="18"/>
              </w:rPr>
              <w:t>Evidence</w:t>
            </w:r>
          </w:p>
        </w:tc>
      </w:tr>
      <w:tr>
        <w:tc>
          <w:tcPr>
            <w:tcW w:type="dxa" w:w="1800"/>
            <w:vAlign w:val="center"/>
          </w:tcPr>
          <w:p>
            <w:r/>
            <w:r>
              <w:rPr>
                <w:b w:val="0"/>
                <w:sz w:val="16"/>
              </w:rPr>
              <w:t>ESLint</w:t>
            </w:r>
          </w:p>
        </w:tc>
        <w:tc>
          <w:tcPr>
            <w:tcW w:type="dxa" w:w="2448"/>
            <w:vAlign w:val="center"/>
          </w:tcPr>
          <w:p>
            <w:r/>
            <w:r>
              <w:rPr>
                <w:b w:val="0"/>
                <w:sz w:val="16"/>
              </w:rPr>
              <w:t>Zero warnings</w:t>
            </w:r>
          </w:p>
        </w:tc>
        <w:tc>
          <w:tcPr>
            <w:tcW w:type="dxa" w:w="1728"/>
            <w:vAlign w:val="center"/>
          </w:tcPr>
          <w:p>
            <w:r/>
            <w:r>
              <w:rPr>
                <w:b w:val="0"/>
                <w:sz w:val="16"/>
              </w:rPr>
              <w:t>Frontend</w:t>
            </w:r>
          </w:p>
        </w:tc>
        <w:tc>
          <w:tcPr>
            <w:tcW w:type="dxa" w:w="4464"/>
            <w:vAlign w:val="center"/>
          </w:tcPr>
          <w:p>
            <w:r/>
            <w:r>
              <w:rPr>
                <w:b w:val="0"/>
                <w:sz w:val="16"/>
              </w:rPr>
              <w:t>npm run lint</w:t>
            </w:r>
          </w:p>
        </w:tc>
      </w:tr>
      <w:tr>
        <w:tc>
          <w:tcPr>
            <w:tcW w:type="dxa" w:w="1800"/>
            <w:vAlign w:val="center"/>
            <w:shd w:fill="F5F7F9"/>
          </w:tcPr>
          <w:p>
            <w:r/>
            <w:r>
              <w:rPr>
                <w:b w:val="0"/>
                <w:sz w:val="16"/>
              </w:rPr>
              <w:t>Type safety</w:t>
            </w:r>
          </w:p>
        </w:tc>
        <w:tc>
          <w:tcPr>
            <w:tcW w:type="dxa" w:w="2448"/>
            <w:vAlign w:val="center"/>
            <w:shd w:fill="F5F7F9"/>
          </w:tcPr>
          <w:p>
            <w:r/>
            <w:r>
              <w:rPr>
                <w:b w:val="0"/>
                <w:sz w:val="16"/>
              </w:rPr>
              <w:t>No TS errors</w:t>
            </w:r>
          </w:p>
        </w:tc>
        <w:tc>
          <w:tcPr>
            <w:tcW w:type="dxa" w:w="1728"/>
            <w:vAlign w:val="center"/>
            <w:shd w:fill="F5F7F9"/>
          </w:tcPr>
          <w:p>
            <w:r/>
            <w:r>
              <w:rPr>
                <w:b w:val="0"/>
                <w:sz w:val="16"/>
              </w:rPr>
              <w:t>Frontend</w:t>
            </w:r>
          </w:p>
        </w:tc>
        <w:tc>
          <w:tcPr>
            <w:tcW w:type="dxa" w:w="4464"/>
            <w:vAlign w:val="center"/>
            <w:shd w:fill="F5F7F9"/>
          </w:tcPr>
          <w:p>
            <w:r/>
            <w:r>
              <w:rPr>
                <w:b w:val="0"/>
                <w:sz w:val="16"/>
              </w:rPr>
              <w:t>npm run typecheck</w:t>
            </w:r>
          </w:p>
        </w:tc>
      </w:tr>
      <w:tr>
        <w:tc>
          <w:tcPr>
            <w:tcW w:type="dxa" w:w="1800"/>
            <w:vAlign w:val="center"/>
          </w:tcPr>
          <w:p>
            <w:r/>
            <w:r>
              <w:rPr>
                <w:b w:val="0"/>
                <w:sz w:val="16"/>
              </w:rPr>
              <w:t>Production bundle</w:t>
            </w:r>
          </w:p>
        </w:tc>
        <w:tc>
          <w:tcPr>
            <w:tcW w:type="dxa" w:w="2448"/>
            <w:vAlign w:val="center"/>
          </w:tcPr>
          <w:p>
            <w:r/>
            <w:r>
              <w:rPr>
                <w:b w:val="0"/>
                <w:sz w:val="16"/>
              </w:rPr>
              <w:t>Build succeeds</w:t>
            </w:r>
          </w:p>
        </w:tc>
        <w:tc>
          <w:tcPr>
            <w:tcW w:type="dxa" w:w="1728"/>
            <w:vAlign w:val="center"/>
          </w:tcPr>
          <w:p>
            <w:r/>
            <w:r>
              <w:rPr>
                <w:b w:val="0"/>
                <w:sz w:val="16"/>
              </w:rPr>
              <w:t>Frontend</w:t>
            </w:r>
          </w:p>
        </w:tc>
        <w:tc>
          <w:tcPr>
            <w:tcW w:type="dxa" w:w="4464"/>
            <w:vAlign w:val="center"/>
          </w:tcPr>
          <w:p>
            <w:r/>
            <w:r>
              <w:rPr>
                <w:b w:val="0"/>
                <w:sz w:val="16"/>
              </w:rPr>
              <w:t>npm run build</w:t>
            </w:r>
          </w:p>
        </w:tc>
      </w:tr>
      <w:tr>
        <w:tc>
          <w:tcPr>
            <w:tcW w:type="dxa" w:w="1800"/>
            <w:vAlign w:val="center"/>
            <w:shd w:fill="F5F7F9"/>
          </w:tcPr>
          <w:p>
            <w:r/>
            <w:r>
              <w:rPr>
                <w:b w:val="0"/>
                <w:sz w:val="16"/>
              </w:rPr>
              <w:t>OIM workflow</w:t>
            </w:r>
          </w:p>
        </w:tc>
        <w:tc>
          <w:tcPr>
            <w:tcW w:type="dxa" w:w="2448"/>
            <w:vAlign w:val="center"/>
            <w:shd w:fill="F5F7F9"/>
          </w:tcPr>
          <w:p>
            <w:r/>
            <w:r>
              <w:rPr>
                <w:b w:val="0"/>
                <w:sz w:val="16"/>
              </w:rPr>
              <w:t>All 6 actions pass</w:t>
            </w:r>
          </w:p>
        </w:tc>
        <w:tc>
          <w:tcPr>
            <w:tcW w:type="dxa" w:w="1728"/>
            <w:vAlign w:val="center"/>
            <w:shd w:fill="F5F7F9"/>
          </w:tcPr>
          <w:p>
            <w:r/>
            <w:r>
              <w:rPr>
                <w:b w:val="0"/>
                <w:sz w:val="16"/>
              </w:rPr>
              <w:t>Frontend</w:t>
            </w:r>
          </w:p>
        </w:tc>
        <w:tc>
          <w:tcPr>
            <w:tcW w:type="dxa" w:w="4464"/>
            <w:vAlign w:val="center"/>
            <w:shd w:fill="F5F7F9"/>
          </w:tcPr>
          <w:p>
            <w:r/>
            <w:r>
              <w:rPr>
                <w:b w:val="0"/>
                <w:sz w:val="16"/>
              </w:rPr>
              <w:t>Browser automation</w:t>
            </w:r>
          </w:p>
        </w:tc>
      </w:tr>
      <w:tr>
        <w:tc>
          <w:tcPr>
            <w:tcW w:type="dxa" w:w="1800"/>
            <w:vAlign w:val="center"/>
          </w:tcPr>
          <w:p>
            <w:r/>
            <w:r>
              <w:rPr>
                <w:b w:val="0"/>
                <w:sz w:val="16"/>
              </w:rPr>
              <w:t>Route coverage</w:t>
            </w:r>
          </w:p>
        </w:tc>
        <w:tc>
          <w:tcPr>
            <w:tcW w:type="dxa" w:w="2448"/>
            <w:vAlign w:val="center"/>
          </w:tcPr>
          <w:p>
            <w:r/>
            <w:r>
              <w:rPr>
                <w:b w:val="0"/>
                <w:sz w:val="16"/>
              </w:rPr>
              <w:t>OIM + REG + Ship + Cruise render</w:t>
            </w:r>
          </w:p>
        </w:tc>
        <w:tc>
          <w:tcPr>
            <w:tcW w:type="dxa" w:w="1728"/>
            <w:vAlign w:val="center"/>
          </w:tcPr>
          <w:p>
            <w:r/>
            <w:r>
              <w:rPr>
                <w:b w:val="0"/>
                <w:sz w:val="16"/>
              </w:rPr>
              <w:t>Frontend</w:t>
            </w:r>
          </w:p>
        </w:tc>
        <w:tc>
          <w:tcPr>
            <w:tcW w:type="dxa" w:w="4464"/>
            <w:vAlign w:val="center"/>
          </w:tcPr>
          <w:p>
            <w:r/>
            <w:r>
              <w:rPr>
                <w:b w:val="0"/>
                <w:sz w:val="16"/>
              </w:rPr>
              <w:t>1440 px browser smoke</w:t>
            </w:r>
          </w:p>
        </w:tc>
      </w:tr>
      <w:tr>
        <w:tc>
          <w:tcPr>
            <w:tcW w:type="dxa" w:w="1800"/>
            <w:vAlign w:val="center"/>
            <w:shd w:fill="F5F7F9"/>
          </w:tcPr>
          <w:p>
            <w:r/>
            <w:r>
              <w:rPr>
                <w:b w:val="0"/>
                <w:sz w:val="16"/>
              </w:rPr>
              <w:t>Visual review</w:t>
            </w:r>
          </w:p>
        </w:tc>
        <w:tc>
          <w:tcPr>
            <w:tcW w:type="dxa" w:w="2448"/>
            <w:vAlign w:val="center"/>
            <w:shd w:fill="F5F7F9"/>
          </w:tcPr>
          <w:p>
            <w:r/>
            <w:r>
              <w:rPr>
                <w:b w:val="0"/>
                <w:sz w:val="16"/>
              </w:rPr>
              <w:t>Key screens match Figma hierarchy</w:t>
            </w:r>
          </w:p>
        </w:tc>
        <w:tc>
          <w:tcPr>
            <w:tcW w:type="dxa" w:w="1728"/>
            <w:vAlign w:val="center"/>
            <w:shd w:fill="F5F7F9"/>
          </w:tcPr>
          <w:p>
            <w:r/>
            <w:r>
              <w:rPr>
                <w:b w:val="0"/>
                <w:sz w:val="16"/>
              </w:rPr>
              <w:t>Frontend/Product</w:t>
            </w:r>
          </w:p>
        </w:tc>
        <w:tc>
          <w:tcPr>
            <w:tcW w:type="dxa" w:w="4464"/>
            <w:vAlign w:val="center"/>
            <w:shd w:fill="F5F7F9"/>
          </w:tcPr>
          <w:p>
            <w:r/>
            <w:r>
              <w:rPr>
                <w:b w:val="0"/>
                <w:sz w:val="16"/>
              </w:rPr>
              <w:t>Captured screenshots</w:t>
            </w:r>
          </w:p>
        </w:tc>
      </w:tr>
    </w:tbl>
    <w:p>
      <w:pPr>
        <w:spacing w:after="80" w:line="252" w:lineRule="auto"/>
      </w:pPr>
    </w:p>
    <w:tbl>
      <w:tblPr>
        <w:tblStyle w:val="Table2"/>
        <w:tblW w:type="auto" w:w="0"/>
        <w:tblLook w:firstColumn="1" w:firstRow="1" w:lastColumn="0" w:lastRow="0" w:noHBand="0" w:noVBand="1" w:val="04A0"/>
      </w:tblPr>
      <w:tblGrid>
        <w:gridCol w:w="10166"/>
      </w:tblGrid>
      <w:tr>
        <w:tc>
          <w:tcPr>
            <w:tcW w:type="dxa" w:w="10166"/>
            <w:shd w:fill="EAF0F3"/>
          </w:tcPr>
          <w:p>
            <w:r>
              <w:rPr>
                <w:b/>
              </w:rPr>
              <w:t xml:space="preserve">Runtime note — </w:t>
            </w:r>
            <w:r>
              <w:t>Repository declares Node &gt;=24 &lt;25. This workstation currently reports Node 25.2.1; quality commands pass, but CI and team machines should use the declared runtime.</w:t>
            </w:r>
          </w:p>
        </w:tc>
      </w:tr>
    </w:tbl>
    <w:p>
      <w:pPr>
        <w:spacing w:after="80" w:line="252" w:lineRule="auto"/>
      </w:pPr>
    </w:p>
    <w:p>
      <w:pPr>
        <w:pStyle w:val="Heading1"/>
        <w:spacing w:after="80" w:line="252" w:lineRule="auto"/>
      </w:pPr>
      <w:r>
        <w:t>10. Alternatives Considered</w:t>
      </w:r>
    </w:p>
    <w:tbl>
      <w:tblPr>
        <w:tblStyle w:val="Table4"/>
        <w:tblW w:type="auto" w:w="0"/>
        <w:jc w:val="center"/>
        <w:tblLook w:firstColumn="1" w:firstRow="1" w:lastColumn="0" w:lastRow="0" w:noHBand="0" w:noVBand="1" w:val="04A0"/>
      </w:tblPr>
      <w:tblGrid>
        <w:gridCol w:w="3389"/>
        <w:gridCol w:w="3389"/>
        <w:gridCol w:w="3389"/>
      </w:tblGrid>
      <w:tr>
        <w:tc>
          <w:tcPr>
            <w:tcW w:type="dxa" w:w="2520"/>
            <w:vAlign w:val="center"/>
            <w:shd w:fill="123042"/>
          </w:tcPr>
          <w:p>
            <w:r/>
            <w:r>
              <w:rPr>
                <w:b/>
                <w:color w:val="FFFFFF"/>
                <w:sz w:val="18"/>
              </w:rPr>
              <w:t>Alternative</w:t>
            </w:r>
          </w:p>
        </w:tc>
        <w:tc>
          <w:tcPr>
            <w:tcW w:type="dxa" w:w="3096"/>
            <w:vAlign w:val="center"/>
            <w:shd w:fill="123042"/>
          </w:tcPr>
          <w:p>
            <w:r/>
            <w:r>
              <w:rPr>
                <w:b/>
                <w:color w:val="FFFFFF"/>
                <w:sz w:val="18"/>
              </w:rPr>
              <w:t>Why considered</w:t>
            </w:r>
          </w:p>
        </w:tc>
        <w:tc>
          <w:tcPr>
            <w:tcW w:type="dxa" w:w="4536"/>
            <w:vAlign w:val="center"/>
            <w:shd w:fill="123042"/>
          </w:tcPr>
          <w:p>
            <w:r/>
            <w:r>
              <w:rPr>
                <w:b/>
                <w:color w:val="FFFFFF"/>
                <w:sz w:val="18"/>
              </w:rPr>
              <w:t>Why not selected</w:t>
            </w:r>
          </w:p>
        </w:tc>
      </w:tr>
      <w:tr>
        <w:tc>
          <w:tcPr>
            <w:tcW w:type="dxa" w:w="2520"/>
            <w:vAlign w:val="center"/>
          </w:tcPr>
          <w:p>
            <w:r/>
            <w:r>
              <w:rPr>
                <w:b w:val="0"/>
                <w:sz w:val="16"/>
              </w:rPr>
              <w:t>Keep synthetic OIM history</w:t>
            </w:r>
          </w:p>
        </w:tc>
        <w:tc>
          <w:tcPr>
            <w:tcW w:type="dxa" w:w="3096"/>
            <w:vAlign w:val="center"/>
          </w:tcPr>
          <w:p>
            <w:r/>
            <w:r>
              <w:rPr>
                <w:b w:val="0"/>
                <w:sz w:val="16"/>
              </w:rPr>
              <w:t>Richer demo detail</w:t>
            </w:r>
          </w:p>
        </w:tc>
        <w:tc>
          <w:tcPr>
            <w:tcW w:type="dxa" w:w="4536"/>
            <w:vAlign w:val="center"/>
          </w:tcPr>
          <w:p>
            <w:r/>
            <w:r>
              <w:rPr>
                <w:b w:val="0"/>
                <w:sz w:val="16"/>
              </w:rPr>
              <w:t>Contradicts SQL and creates false backend contract</w:t>
            </w:r>
          </w:p>
        </w:tc>
      </w:tr>
      <w:tr>
        <w:tc>
          <w:tcPr>
            <w:tcW w:type="dxa" w:w="2520"/>
            <w:vAlign w:val="center"/>
            <w:shd w:fill="F5F7F9"/>
          </w:tcPr>
          <w:p>
            <w:r/>
            <w:r>
              <w:rPr>
                <w:b w:val="0"/>
                <w:sz w:val="16"/>
              </w:rPr>
              <w:t>Infer assignments from scope</w:t>
            </w:r>
          </w:p>
        </w:tc>
        <w:tc>
          <w:tcPr>
            <w:tcW w:type="dxa" w:w="3096"/>
            <w:vAlign w:val="center"/>
            <w:shd w:fill="F5F7F9"/>
          </w:tcPr>
          <w:p>
            <w:r/>
            <w:r>
              <w:rPr>
                <w:b w:val="0"/>
                <w:sz w:val="16"/>
              </w:rPr>
              <w:t>Minimal implementation</w:t>
            </w:r>
          </w:p>
        </w:tc>
        <w:tc>
          <w:tcPr>
            <w:tcW w:type="dxa" w:w="4536"/>
            <w:vAlign w:val="center"/>
            <w:shd w:fill="F5F7F9"/>
          </w:tcPr>
          <w:p>
            <w:r/>
            <w:r>
              <w:rPr>
                <w:b w:val="0"/>
                <w:sz w:val="16"/>
              </w:rPr>
              <w:t>Scope is eligibility/context, not join existence</w:t>
            </w:r>
          </w:p>
        </w:tc>
      </w:tr>
      <w:tr>
        <w:tc>
          <w:tcPr>
            <w:tcW w:type="dxa" w:w="2520"/>
            <w:vAlign w:val="center"/>
          </w:tcPr>
          <w:p>
            <w:r/>
            <w:r>
              <w:rPr>
                <w:b w:val="0"/>
                <w:sz w:val="16"/>
              </w:rPr>
              <w:t>Add frontend conflict engine</w:t>
            </w:r>
          </w:p>
        </w:tc>
        <w:tc>
          <w:tcPr>
            <w:tcW w:type="dxa" w:w="3096"/>
            <w:vAlign w:val="center"/>
          </w:tcPr>
          <w:p>
            <w:r/>
            <w:r>
              <w:rPr>
                <w:b w:val="0"/>
                <w:sz w:val="16"/>
              </w:rPr>
              <w:t>Immediate deterministic behavior</w:t>
            </w:r>
          </w:p>
        </w:tc>
        <w:tc>
          <w:tcPr>
            <w:tcW w:type="dxa" w:w="4536"/>
            <w:vAlign w:val="center"/>
          </w:tcPr>
          <w:p>
            <w:r/>
            <w:r>
              <w:rPr>
                <w:b w:val="0"/>
                <w:sz w:val="16"/>
              </w:rPr>
              <w:t>Policy belongs to backend; mock response is safer</w:t>
            </w:r>
          </w:p>
        </w:tc>
      </w:tr>
      <w:tr>
        <w:tc>
          <w:tcPr>
            <w:tcW w:type="dxa" w:w="2520"/>
            <w:vAlign w:val="center"/>
            <w:shd w:fill="F5F7F9"/>
          </w:tcPr>
          <w:p>
            <w:r/>
            <w:r>
              <w:rPr>
                <w:b w:val="0"/>
                <w:sz w:val="16"/>
              </w:rPr>
              <w:t>Wait for live APIs</w:t>
            </w:r>
          </w:p>
        </w:tc>
        <w:tc>
          <w:tcPr>
            <w:tcW w:type="dxa" w:w="3096"/>
            <w:vAlign w:val="center"/>
            <w:shd w:fill="F5F7F9"/>
          </w:tcPr>
          <w:p>
            <w:r/>
            <w:r>
              <w:rPr>
                <w:b w:val="0"/>
                <w:sz w:val="16"/>
              </w:rPr>
              <w:t>Avoid throwaway adapter</w:t>
            </w:r>
          </w:p>
        </w:tc>
        <w:tc>
          <w:tcPr>
            <w:tcW w:type="dxa" w:w="4536"/>
            <w:vAlign w:val="center"/>
            <w:shd w:fill="F5F7F9"/>
          </w:tcPr>
          <w:p>
            <w:r/>
            <w:r>
              <w:rPr>
                <w:b w:val="0"/>
                <w:sz w:val="16"/>
              </w:rPr>
              <w:t>Would leave assigned frontend flows inaccessible</w:t>
            </w:r>
          </w:p>
        </w:tc>
      </w:tr>
    </w:tbl>
    <w:p>
      <w:pPr>
        <w:spacing w:after="80" w:line="252" w:lineRule="auto"/>
      </w:pPr>
    </w:p>
    <w:p>
      <w:pPr>
        <w:pStyle w:val="Heading1"/>
        <w:spacing w:after="80" w:line="252" w:lineRule="auto"/>
      </w:pPr>
      <w:r>
        <w:t>11. Open Questions</w:t>
      </w:r>
    </w:p>
    <w:p>
      <w:pPr>
        <w:spacing w:after="80" w:line="252" w:lineRule="auto"/>
        <w:ind w:left="360" w:hanging="288"/>
      </w:pPr>
      <w:r>
        <w:rPr>
          <w:b/>
        </w:rPr>
        <w:t xml:space="preserve">1. </w:t>
      </w:r>
      <w:r>
        <w:t>Which live endpoints and DTO versions will replace the mock adapters?</w:t>
      </w:r>
    </w:p>
    <w:p>
      <w:pPr>
        <w:spacing w:after="80" w:line="252" w:lineRule="auto"/>
        <w:ind w:left="360" w:hanging="288"/>
      </w:pPr>
      <w:r>
        <w:rPr>
          <w:b/>
        </w:rPr>
        <w:t xml:space="preserve">2. </w:t>
      </w:r>
      <w:r>
        <w:t>Which backend audit/event source should supply true OperationalIssue transition history?</w:t>
      </w:r>
    </w:p>
    <w:p>
      <w:pPr>
        <w:spacing w:after="80" w:line="252" w:lineRule="auto"/>
        <w:ind w:left="360" w:hanging="288"/>
      </w:pPr>
      <w:r>
        <w:rPr>
          <w:b/>
        </w:rPr>
        <w:t xml:space="preserve">3. </w:t>
      </w:r>
      <w:r>
        <w:t>What authorization capabilities map to each OIM and Regulation action?</w:t>
      </w:r>
    </w:p>
    <w:p>
      <w:pPr>
        <w:spacing w:after="80" w:line="252" w:lineRule="auto"/>
        <w:ind w:left="360" w:hanging="288"/>
      </w:pPr>
      <w:r>
        <w:rPr>
          <w:b/>
        </w:rPr>
        <w:t xml:space="preserve">4. </w:t>
      </w:r>
      <w:r>
        <w:t>Should reopen clear resolution fields in a future backend contract, or preserve them as the mock does?</w:t>
      </w:r>
    </w:p>
    <w:p>
      <w:pPr>
        <w:pStyle w:val="Heading1"/>
        <w:spacing w:after="80" w:line="252" w:lineRule="auto"/>
      </w:pPr>
      <w:r>
        <w:t>12. Decision and Next Steps</w:t>
      </w:r>
    </w:p>
    <w:p>
      <w:pPr>
        <w:spacing w:after="80" w:line="252" w:lineRule="auto"/>
      </w:pPr>
      <w:r>
        <w:t>Adopt the feature-module plus typed-adapter design on the dedicated feature branch. Merge only after lint, typecheck, build, OIM workflow and Regulation route/interaction checks pass. Keep the mock adapter until backend contracts are confirmed; then add a live adapter behind the same page/hook boundary without changing Figma-facing components.</w:t>
      </w:r>
    </w:p>
    <w:tbl>
      <w:tblPr>
        <w:tblStyle w:val="Table4"/>
        <w:tblW w:type="auto" w:w="0"/>
        <w:jc w:val="center"/>
        <w:tblLook w:firstColumn="1" w:firstRow="1" w:lastColumn="0" w:lastRow="0" w:noHBand="0" w:noVBand="1" w:val="04A0"/>
      </w:tblPr>
      <w:tblGrid>
        <w:gridCol w:w="3389"/>
        <w:gridCol w:w="3389"/>
        <w:gridCol w:w="3389"/>
      </w:tblGrid>
      <w:tr>
        <w:tc>
          <w:tcPr>
            <w:tcW w:type="dxa" w:w="1440"/>
            <w:vAlign w:val="center"/>
            <w:shd w:fill="123042"/>
          </w:tcPr>
          <w:p>
            <w:r/>
            <w:r>
              <w:rPr>
                <w:b/>
                <w:color w:val="FFFFFF"/>
                <w:sz w:val="18"/>
              </w:rPr>
              <w:t>Milestone</w:t>
            </w:r>
          </w:p>
        </w:tc>
        <w:tc>
          <w:tcPr>
            <w:tcW w:type="dxa" w:w="3672"/>
            <w:vAlign w:val="center"/>
            <w:shd w:fill="123042"/>
          </w:tcPr>
          <w:p>
            <w:r/>
            <w:r>
              <w:rPr>
                <w:b/>
                <w:color w:val="FFFFFF"/>
                <w:sz w:val="18"/>
              </w:rPr>
              <w:t>Deliverable</w:t>
            </w:r>
          </w:p>
        </w:tc>
        <w:tc>
          <w:tcPr>
            <w:tcW w:type="dxa" w:w="5040"/>
            <w:vAlign w:val="center"/>
            <w:shd w:fill="123042"/>
          </w:tcPr>
          <w:p>
            <w:r/>
            <w:r>
              <w:rPr>
                <w:b/>
                <w:color w:val="FFFFFF"/>
                <w:sz w:val="18"/>
              </w:rPr>
              <w:t>Exit criteria</w:t>
            </w:r>
          </w:p>
        </w:tc>
      </w:tr>
      <w:tr>
        <w:tc>
          <w:tcPr>
            <w:tcW w:type="dxa" w:w="1440"/>
            <w:vAlign w:val="center"/>
          </w:tcPr>
          <w:p>
            <w:r/>
            <w:r>
              <w:rPr>
                <w:b w:val="0"/>
                <w:sz w:val="16"/>
              </w:rPr>
              <w:t>M1</w:t>
            </w:r>
          </w:p>
        </w:tc>
        <w:tc>
          <w:tcPr>
            <w:tcW w:type="dxa" w:w="3672"/>
            <w:vAlign w:val="center"/>
          </w:tcPr>
          <w:p>
            <w:r/>
            <w:r>
              <w:rPr>
                <w:b w:val="0"/>
                <w:sz w:val="16"/>
              </w:rPr>
              <w:t>Frontend mock completion</w:t>
            </w:r>
          </w:p>
        </w:tc>
        <w:tc>
          <w:tcPr>
            <w:tcW w:type="dxa" w:w="5040"/>
            <w:vAlign w:val="center"/>
          </w:tcPr>
          <w:p>
            <w:r/>
            <w:r>
              <w:rPr>
                <w:b w:val="0"/>
                <w:sz w:val="16"/>
              </w:rPr>
              <w:t>Routes, SQL alignment and assigned interactions pass</w:t>
            </w:r>
          </w:p>
        </w:tc>
      </w:tr>
      <w:tr>
        <w:tc>
          <w:tcPr>
            <w:tcW w:type="dxa" w:w="1440"/>
            <w:vAlign w:val="center"/>
            <w:shd w:fill="F5F7F9"/>
          </w:tcPr>
          <w:p>
            <w:r/>
            <w:r>
              <w:rPr>
                <w:b w:val="0"/>
                <w:sz w:val="16"/>
              </w:rPr>
              <w:t>M2</w:t>
            </w:r>
          </w:p>
        </w:tc>
        <w:tc>
          <w:tcPr>
            <w:tcW w:type="dxa" w:w="3672"/>
            <w:vAlign w:val="center"/>
            <w:shd w:fill="F5F7F9"/>
          </w:tcPr>
          <w:p>
            <w:r/>
            <w:r>
              <w:rPr>
                <w:b w:val="0"/>
                <w:sz w:val="16"/>
              </w:rPr>
              <w:t>Backend contract mapping</w:t>
            </w:r>
          </w:p>
        </w:tc>
        <w:tc>
          <w:tcPr>
            <w:tcW w:type="dxa" w:w="5040"/>
            <w:vAlign w:val="center"/>
            <w:shd w:fill="F5F7F9"/>
          </w:tcPr>
          <w:p>
            <w:r/>
            <w:r>
              <w:rPr>
                <w:b w:val="0"/>
                <w:sz w:val="16"/>
              </w:rPr>
              <w:t>Endpoint/DTO/capability contract approved</w:t>
            </w:r>
          </w:p>
        </w:tc>
      </w:tr>
      <w:tr>
        <w:tc>
          <w:tcPr>
            <w:tcW w:type="dxa" w:w="1440"/>
            <w:vAlign w:val="center"/>
          </w:tcPr>
          <w:p>
            <w:r/>
            <w:r>
              <w:rPr>
                <w:b w:val="0"/>
                <w:sz w:val="16"/>
              </w:rPr>
              <w:t>M3</w:t>
            </w:r>
          </w:p>
        </w:tc>
        <w:tc>
          <w:tcPr>
            <w:tcW w:type="dxa" w:w="3672"/>
            <w:vAlign w:val="center"/>
          </w:tcPr>
          <w:p>
            <w:r/>
            <w:r>
              <w:rPr>
                <w:b w:val="0"/>
                <w:sz w:val="16"/>
              </w:rPr>
              <w:t>Live adapter</w:t>
            </w:r>
          </w:p>
        </w:tc>
        <w:tc>
          <w:tcPr>
            <w:tcW w:type="dxa" w:w="5040"/>
            <w:vAlign w:val="center"/>
          </w:tcPr>
          <w:p>
            <w:r/>
            <w:r>
              <w:rPr>
                <w:b w:val="0"/>
                <w:sz w:val="16"/>
              </w:rPr>
              <w:t>Contract tests and error states pass</w:t>
            </w:r>
          </w:p>
        </w:tc>
      </w:tr>
      <w:tr>
        <w:tc>
          <w:tcPr>
            <w:tcW w:type="dxa" w:w="1440"/>
            <w:vAlign w:val="center"/>
            <w:shd w:fill="F5F7F9"/>
          </w:tcPr>
          <w:p>
            <w:r/>
            <w:r>
              <w:rPr>
                <w:b w:val="0"/>
                <w:sz w:val="16"/>
              </w:rPr>
              <w:t>M4</w:t>
            </w:r>
          </w:p>
        </w:tc>
        <w:tc>
          <w:tcPr>
            <w:tcW w:type="dxa" w:w="3672"/>
            <w:vAlign w:val="center"/>
            <w:shd w:fill="F5F7F9"/>
          </w:tcPr>
          <w:p>
            <w:r/>
            <w:r>
              <w:rPr>
                <w:b w:val="0"/>
                <w:sz w:val="16"/>
              </w:rPr>
              <w:t>Production rollout</w:t>
            </w:r>
          </w:p>
        </w:tc>
        <w:tc>
          <w:tcPr>
            <w:tcW w:type="dxa" w:w="5040"/>
            <w:vAlign w:val="center"/>
            <w:shd w:fill="F5F7F9"/>
          </w:tcPr>
          <w:p>
            <w:r/>
            <w:r>
              <w:rPr>
                <w:b w:val="0"/>
                <w:sz w:val="16"/>
              </w:rPr>
              <w:t>Permission, observability and audit requirements approved</w:t>
            </w:r>
          </w:p>
        </w:tc>
      </w:tr>
    </w:tbl>
    <w:p>
      <w:pPr>
        <w:spacing w:after="80" w:line="252" w:lineRule="auto"/>
      </w:pPr>
    </w:p>
    <w:p>
      <w:pPr>
        <w:pStyle w:val="Heading1"/>
        <w:spacing w:after="80" w:line="252" w:lineRule="auto"/>
      </w:pPr>
      <w:r>
        <w:t>Figma traceability appendix</w:t>
      </w:r>
    </w:p>
    <w:tbl>
      <w:tblPr>
        <w:tblStyle w:val="Table4"/>
        <w:tblW w:type="auto" w:w="0"/>
        <w:jc w:val="center"/>
        <w:tblLook w:firstColumn="1" w:firstRow="1" w:lastColumn="0" w:lastRow="0" w:noHBand="0" w:noVBand="1" w:val="04A0"/>
      </w:tblPr>
      <w:tblGrid>
        <w:gridCol w:w="5083"/>
        <w:gridCol w:w="5083"/>
      </w:tblGrid>
      <w:tr>
        <w:tc>
          <w:tcPr>
            <w:tcW w:type="dxa" w:w="2160"/>
            <w:vAlign w:val="center"/>
            <w:shd w:fill="123042"/>
          </w:tcPr>
          <w:p>
            <w:r/>
            <w:r>
              <w:rPr>
                <w:b/>
                <w:color w:val="FFFFFF"/>
                <w:sz w:val="18"/>
              </w:rPr>
              <w:t>Area</w:t>
            </w:r>
          </w:p>
        </w:tc>
        <w:tc>
          <w:tcPr>
            <w:tcW w:type="dxa" w:w="8352"/>
            <w:vAlign w:val="center"/>
            <w:shd w:fill="123042"/>
          </w:tcPr>
          <w:p>
            <w:r/>
            <w:r>
              <w:rPr>
                <w:b/>
                <w:color w:val="FFFFFF"/>
                <w:sz w:val="18"/>
              </w:rPr>
              <w:t>Nodes</w:t>
            </w:r>
          </w:p>
        </w:tc>
      </w:tr>
      <w:tr>
        <w:tc>
          <w:tcPr>
            <w:tcW w:type="dxa" w:w="2160"/>
            <w:vAlign w:val="center"/>
          </w:tcPr>
          <w:p>
            <w:r/>
            <w:r>
              <w:rPr>
                <w:b w:val="0"/>
                <w:sz w:val="16"/>
              </w:rPr>
              <w:t>OIM</w:t>
            </w:r>
          </w:p>
        </w:tc>
        <w:tc>
          <w:tcPr>
            <w:tcW w:type="dxa" w:w="8352"/>
            <w:vAlign w:val="center"/>
          </w:tcPr>
          <w:p>
            <w:r/>
            <w:r>
              <w:rPr>
                <w:b w:val="0"/>
                <w:sz w:val="16"/>
              </w:rPr>
              <w:t>135:4588, 135:4689, 135:4835, 135:5001, 135:5077, 135:5143, 135:5417</w:t>
            </w:r>
          </w:p>
        </w:tc>
      </w:tr>
      <w:tr>
        <w:tc>
          <w:tcPr>
            <w:tcW w:type="dxa" w:w="2160"/>
            <w:vAlign w:val="center"/>
            <w:shd w:fill="F5F7F9"/>
          </w:tcPr>
          <w:p>
            <w:r/>
            <w:r>
              <w:rPr>
                <w:b w:val="0"/>
                <w:sz w:val="16"/>
              </w:rPr>
              <w:t>Regulation</w:t>
            </w:r>
          </w:p>
        </w:tc>
        <w:tc>
          <w:tcPr>
            <w:tcW w:type="dxa" w:w="8352"/>
            <w:vAlign w:val="center"/>
            <w:shd w:fill="F5F7F9"/>
          </w:tcPr>
          <w:p>
            <w:r/>
            <w:r>
              <w:rPr>
                <w:b w:val="0"/>
                <w:sz w:val="16"/>
              </w:rPr>
              <w:t>231:6742, 231:6827, 231:6883, 232:6901, 232:6962, 235:6912</w:t>
            </w:r>
          </w:p>
        </w:tc>
      </w:tr>
    </w:tbl>
    <w:p>
      <w:pPr>
        <w:spacing w:after="80" w:line="252" w:lineRule="auto"/>
      </w:pPr>
    </w:p>
    <w:sectPr>
      <w:headerReference r:id="rId10" w:type="default"/>
      <w:headerReference r:id="rId11" w:type="first"/>
      <w:footerReference r:id="rId12" w:type="default"/>
      <w:footerReference r:id="rId13" w:type="first"/>
      <w:pgSz w:h="15840" w:w="12240" w:orient="portrait"/>
      <w:pgMar w:bottom="893" w:top="893" w:left="1037" w:right="10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