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0" w:lineRule="exact"/>
        <w:jc w:val="center"/>
      </w:pPr>
      <w:r>
        <w:rPr>
          <w:rFonts w:ascii="Times New Roman" w:hAnsi="Times New Roman"/>
          <w:b/>
          <w:i w:val="0"/>
          <w:sz w:val="36"/>
        </w:rPr>
        <w:t>對比學習距離方程式之完整 Java 實作與梯度分析</w:t>
      </w:r>
    </w:p>
    <w:p>
      <w:pPr>
        <w:spacing w:before="0" w:after="120" w:line="260" w:lineRule="exact"/>
        <w:jc w:val="center"/>
      </w:pPr>
      <w:r>
        <w:rPr>
          <w:rFonts w:ascii="Times New Roman" w:hAnsi="Times New Roman"/>
          <w:b/>
          <w:i w:val="0"/>
          <w:sz w:val="26"/>
        </w:rPr>
        <w:t>Complete Java Implementation and Gradient Analysis of Contrastive Learning Distance Equation</w:t>
      </w:r>
    </w:p>
    <w:p>
      <w:pPr>
        <w:spacing w:before="0" w:after="40" w:line="260" w:lineRule="exact"/>
        <w:jc w:val="center"/>
      </w:pPr>
      <w:r>
        <w:rPr>
          <w:rFonts w:ascii="Times New Roman" w:hAnsi="Times New Roman"/>
          <w:b w:val="0"/>
          <w:i/>
          <w:sz w:val="22"/>
        </w:rPr>
        <w:t>翁祺展 (Chi-Zhan Weng)  ·  指導老師：黃祥睿 (Xiang-Rui Huang)</w:t>
      </w:r>
    </w:p>
    <w:p>
      <w:pPr>
        <w:spacing w:before="0" w:after="40" w:line="260" w:lineRule="exact"/>
        <w:jc w:val="center"/>
      </w:pPr>
      <w:r>
        <w:rPr>
          <w:rFonts w:ascii="Times New Roman" w:hAnsi="Times New Roman"/>
          <w:b w:val="0"/>
          <w:i/>
          <w:sz w:val="22"/>
        </w:rPr>
        <w:t>Department of Computer Science and Information Engineering</w:t>
      </w:r>
    </w:p>
    <w:p>
      <w:pPr>
        <w:spacing w:before="0" w:after="120" w:line="260" w:lineRule="exact"/>
        <w:jc w:val="center"/>
      </w:pPr>
      <w:r>
        <w:rPr>
          <w:rFonts w:ascii="Times New Roman" w:hAnsi="Times New Roman"/>
          <w:b w:val="0"/>
          <w:i/>
          <w:sz w:val="22"/>
        </w:rPr>
        <w:t>National Penghu University of Science and Technology, Penghu, Taiwan</w:t>
      </w:r>
    </w:p>
    <w:p>
      <w:pPr>
        <w:spacing w:before="80" w:after="40" w:line="260" w:lineRule="exact"/>
        <w:jc w:val="center"/>
      </w:pPr>
      <w:r>
        <w:rPr>
          <w:rFonts w:ascii="Times New Roman" w:hAnsi="Times New Roman"/>
          <w:b/>
          <w:i w:val="0"/>
          <w:sz w:val="24"/>
        </w:rPr>
        <w:t>Abstract</w:t>
      </w:r>
    </w:p>
    <w:p>
      <w:pPr>
        <w:spacing w:before="0" w:after="80" w:line="260" w:lineRule="exact"/>
        <w:jc w:val="both"/>
      </w:pPr>
      <w:r>
        <w:rPr>
          <w:rFonts w:ascii="Times New Roman" w:hAnsi="Times New Roman"/>
          <w:b w:val="0"/>
          <w:i w:val="0"/>
          <w:sz w:val="22"/>
        </w:rPr>
        <w:t>本報告為 Lecture 7「最佳化距離方程式（對比學習）」之完整重製版本，實作六個類別：FeatureVector（不可變嵌入向量封裝）、L1Distance（曼哈頓距離，含逐維展示）、L2Distance（歐幾里得距離，含平方版本）、CosineSimilarity（餘弦相似度，含夾角與餘弦距離）、ContrastiveLoss（負樣本損失 L=max(0,C-||D(x1)-D(x2)||₂)，含 Hadsell 完整損失與損失掃描）、GradientAnalysis（損失梯度 dL/dD(x1)、推離方向與模擬更新）。以四個特徵向量（錨點、正對、遠負對、近負對）測試，全部方法時間複雜度 O(n)。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sz w:val="22"/>
        </w:rPr>
        <w:t xml:space="preserve">Index Terms </w:t>
      </w:r>
      <w:r>
        <w:rPr>
          <w:rFonts w:ascii="Times New Roman" w:hAnsi="Times New Roman"/>
          <w:b w:val="0"/>
          <w:i/>
          <w:sz w:val="22"/>
        </w:rPr>
        <w:t>— Contrastive Learning, L1/L2/Cosine Distance, Gradient Analysis, Hadsell Loss, Java OOP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I. 引言 (INTRODUCTION)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對比學習（Contrastive Learning）透過「正對拉近、負對推遠」的訓練策略，在無監督或自監督框架下學習具有辨別力的特徵嵌入。講義以台北 101 為比喻：站在頂端感受不到高度，只有站在旁邊比較才能真正感受。這正是對比學習的核心：特徵的意義來自比較，而非孤立觀察。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本報告在原始版本基礎上重製，新增：(1) FeatureVector 不可變封裝類別；(2) L1 逐維展示；(3) L2 平方版本（用於梯度計算）；(4) 餘弦距離（1-cos）；(5) Hadsell et al. (2006) 完整標記對損失；(6) 損失掃描表格；(7) 完整梯度分析類別含模擬梯度下降更新。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II. 研究方法 (METHODOLOGY)</w:t>
      </w:r>
    </w:p>
    <w:p>
      <w:pPr>
        <w:spacing w:before="120" w:after="40"/>
        <w:jc w:val="left"/>
      </w:pPr>
      <w:r>
        <w:rPr>
          <w:rFonts w:ascii="Times New Roman" w:hAnsi="Times New Roman"/>
          <w:i/>
          <w:sz w:val="24"/>
        </w:rPr>
        <w:t xml:space="preserve">A. </w:t>
      </w:r>
      <w:r>
        <w:rPr>
          <w:rFonts w:ascii="Times New Roman" w:hAnsi="Times New Roman"/>
          <w:i/>
          <w:sz w:val="24"/>
        </w:rPr>
        <w:t>FeatureVector — 不可變嵌入封裝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FeatureVector 以 data.clone() 實作防禦性拷貝，確保外部無法修改內部陣列，保持不可變性（Immutability）。提供 get(i)、dim()、label()、data() 介面，以及靜態 checkDim() 方法統一維度驗證。</w:t>
      </w:r>
    </w:p>
    <w:p>
      <w:pPr>
        <w:spacing w:before="120" w:after="40"/>
        <w:jc w:val="left"/>
      </w:pPr>
      <w:r>
        <w:rPr>
          <w:rFonts w:ascii="Times New Roman" w:hAnsi="Times New Roman"/>
          <w:i/>
          <w:sz w:val="24"/>
        </w:rPr>
        <w:t xml:space="preserve">B. </w:t>
      </w:r>
      <w:r>
        <w:rPr>
          <w:rFonts w:ascii="Times New Roman" w:hAnsi="Times New Roman"/>
          <w:i/>
          <w:sz w:val="24"/>
        </w:rPr>
        <w:t>L1Distance — 逐維展示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demo() 方法在計算總和同時建構步驟字串（如「0.10+0.10+0.10+0.10」），讓學生能清晰看到每個維度的貢獻。公式為：</w:t>
      </w:r>
    </w:p>
    <w:p>
      <w:pPr>
        <w:spacing w:before="60" w:after="60" w:line="260" w:lineRule="exact"/>
        <w:jc w:val="center"/>
      </w:pPr>
      <w:r>
        <w:rPr>
          <w:rFonts w:ascii="Times New Roman" w:hAnsi="Times New Roman"/>
          <w:b w:val="0"/>
          <w:i/>
          <w:sz w:val="24"/>
        </w:rPr>
        <w:t>||D(x1)-D(x2)||_1  =  Σ |D(x1)_i - D(x2)_i|     (1)</w:t>
      </w:r>
    </w:p>
    <w:p>
      <w:pPr>
        <w:spacing w:before="120" w:after="40"/>
        <w:jc w:val="left"/>
      </w:pPr>
      <w:r>
        <w:rPr>
          <w:rFonts w:ascii="Times New Roman" w:hAnsi="Times New Roman"/>
          <w:i/>
          <w:sz w:val="24"/>
        </w:rPr>
        <w:t xml:space="preserve">C. </w:t>
      </w:r>
      <w:r>
        <w:rPr>
          <w:rFonts w:ascii="Times New Roman" w:hAnsi="Times New Roman"/>
          <w:i/>
          <w:sz w:val="24"/>
        </w:rPr>
        <w:t>L2Distance — 含平方版本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新增 computeSq() 方法回傳 ||·||₂²（不開根號），用於 GradientAnalysis 中避免重複計算。compute() 公式：</w:t>
      </w:r>
    </w:p>
    <w:p>
      <w:pPr>
        <w:spacing w:before="60" w:after="60" w:line="260" w:lineRule="exact"/>
        <w:jc w:val="center"/>
      </w:pPr>
      <w:r>
        <w:rPr>
          <w:rFonts w:ascii="Times New Roman" w:hAnsi="Times New Roman"/>
          <w:b w:val="0"/>
          <w:i/>
          <w:sz w:val="24"/>
        </w:rPr>
        <w:t>||D(x1)-D(x2)||_2  =  sqrt( Σ (D(x1)_i - D(x2)_i)^2 )     (2)</w:t>
      </w:r>
    </w:p>
    <w:p>
      <w:pPr>
        <w:spacing w:before="120" w:after="40"/>
        <w:jc w:val="left"/>
      </w:pPr>
      <w:r>
        <w:rPr>
          <w:rFonts w:ascii="Times New Roman" w:hAnsi="Times New Roman"/>
          <w:i/>
          <w:sz w:val="24"/>
        </w:rPr>
        <w:t xml:space="preserve">D. </w:t>
      </w:r>
      <w:r>
        <w:rPr>
          <w:rFonts w:ascii="Times New Roman" w:hAnsi="Times New Roman"/>
          <w:i/>
          <w:sz w:val="24"/>
        </w:rPr>
        <w:t>CosineSimilarity — 一次遍歷計算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採單次迴圈同時累加點積、||a||² 與 ||b||²，避免三次遍歷。新增 distance() = 1-cos ∈ [0,2] 作為餘弦距離，以及 acos 反算夾角（度數）供直觀比較。</w:t>
      </w:r>
    </w:p>
    <w:p>
      <w:pPr>
        <w:spacing w:before="60" w:after="60" w:line="260" w:lineRule="exact"/>
        <w:jc w:val="center"/>
      </w:pPr>
      <w:r>
        <w:rPr>
          <w:rFonts w:ascii="Times New Roman" w:hAnsi="Times New Roman"/>
          <w:b w:val="0"/>
          <w:i/>
          <w:sz w:val="24"/>
        </w:rPr>
        <w:t>cos(a,b) = (a·b) / (||a||_2  ×  ||b||_2)  ∈ [-1, 1]     (3)</w:t>
      </w:r>
    </w:p>
    <w:p>
      <w:pPr>
        <w:spacing w:before="120" w:after="40"/>
        <w:jc w:val="left"/>
      </w:pPr>
      <w:r>
        <w:rPr>
          <w:rFonts w:ascii="Times New Roman" w:hAnsi="Times New Roman"/>
          <w:i/>
          <w:sz w:val="24"/>
        </w:rPr>
        <w:t xml:space="preserve">E. </w:t>
      </w:r>
      <w:r>
        <w:rPr>
          <w:rFonts w:ascii="Times New Roman" w:hAnsi="Times New Roman"/>
          <w:i/>
          <w:sz w:val="24"/>
        </w:rPr>
        <w:t>ContrastiveLoss — 完整實作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loss() 實作講義指定公式（式 4）；fullLoss(y) 實作 Hadsell et al. (2006) 完整標記對損失（式 5、6）；sweepDemo() 以 L2 距離從 0 到 4C 掃描，展示 hinge 損失在 dist=C 時歸零的特性。</w:t>
      </w:r>
    </w:p>
    <w:p>
      <w:pPr>
        <w:spacing w:before="60" w:after="60" w:line="260" w:lineRule="exact"/>
        <w:jc w:val="center"/>
      </w:pPr>
      <w:r>
        <w:rPr>
          <w:rFonts w:ascii="Times New Roman" w:hAnsi="Times New Roman"/>
          <w:b w:val="0"/>
          <w:i/>
          <w:sz w:val="24"/>
        </w:rPr>
        <w:t>L  =  max(0,  C  −  ||D(x1) − D(x2)||_2)     (4)</w:t>
      </w:r>
    </w:p>
    <w:p>
      <w:pPr>
        <w:spacing w:before="60" w:after="60" w:line="260" w:lineRule="exact"/>
        <w:jc w:val="center"/>
      </w:pPr>
      <w:r>
        <w:rPr>
          <w:rFonts w:ascii="Times New Roman" w:hAnsi="Times New Roman"/>
          <w:b w:val="0"/>
          <w:i/>
          <w:sz w:val="24"/>
        </w:rPr>
        <w:t>y=1: L_p = ||D(x1)-D(x2)||_2^2     (5)</w:t>
      </w:r>
    </w:p>
    <w:p>
      <w:pPr>
        <w:spacing w:before="60" w:after="60" w:line="260" w:lineRule="exact"/>
        <w:jc w:val="center"/>
      </w:pPr>
      <w:r>
        <w:rPr>
          <w:rFonts w:ascii="Times New Roman" w:hAnsi="Times New Roman"/>
          <w:b w:val="0"/>
          <w:i/>
          <w:sz w:val="24"/>
        </w:rPr>
        <w:t>y=0: L_n = max(0, C - ||D(x1)-D(x2)||_2)^2     (6)</w:t>
      </w:r>
    </w:p>
    <w:p>
      <w:pPr>
        <w:spacing w:before="120" w:after="40"/>
        <w:jc w:val="left"/>
      </w:pPr>
      <w:r>
        <w:rPr>
          <w:rFonts w:ascii="Times New Roman" w:hAnsi="Times New Roman"/>
          <w:i/>
          <w:sz w:val="24"/>
        </w:rPr>
        <w:t xml:space="preserve">F. </w:t>
      </w:r>
      <w:r>
        <w:rPr>
          <w:rFonts w:ascii="Times New Roman" w:hAnsi="Times New Roman"/>
          <w:i/>
          <w:sz w:val="24"/>
        </w:rPr>
        <w:t>GradientAnalysis — 梯度與推離方向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當 L&gt;0 時，損失對 D(x1) 的梯度（鏈式法則）為：</w:t>
      </w:r>
    </w:p>
    <w:p>
      <w:pPr>
        <w:spacing w:before="60" w:after="60" w:line="260" w:lineRule="exact"/>
        <w:jc w:val="center"/>
      </w:pPr>
      <w:r>
        <w:rPr>
          <w:rFonts w:ascii="Times New Roman" w:hAnsi="Times New Roman"/>
          <w:b w:val="0"/>
          <w:i/>
          <w:sz w:val="24"/>
        </w:rPr>
        <w:t>dL/dD(x1) = -1 × (D(x1)-D(x2)) / ||D(x1)-D(x2)||_2     (7)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推離方向（gradient descent 更新方向）為單位向量 (D(x1)-D(x2))/dist，更新後 L2 距離增加，驗證推離效果。當 L=0 時梯度為零向量，不進行更新。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III. 實作細節 (IMPLEMENTATION DETAILS)</w:t>
      </w:r>
    </w:p>
    <w:p>
      <w:pPr>
        <w:spacing w:before="120" w:after="40"/>
        <w:jc w:val="left"/>
      </w:pPr>
      <w:r>
        <w:rPr>
          <w:rFonts w:ascii="Times New Roman" w:hAnsi="Times New Roman"/>
          <w:i/>
          <w:sz w:val="24"/>
        </w:rPr>
        <w:t xml:space="preserve">A. </w:t>
      </w:r>
      <w:r>
        <w:rPr>
          <w:rFonts w:ascii="Times New Roman" w:hAnsi="Times New Roman"/>
          <w:i/>
          <w:sz w:val="24"/>
        </w:rPr>
        <w:t>四向量測試設計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設計四個測試向量：D(x1)=[1,2,3,4]（錨點）、D(x2)=[1.1,2.1,2.9,4.1]（正對，L2=0.2）、D(x3)=[5,1,0.5,8]（遠負對，L2=6.27）、D(x4)=[1.5,2.5,3.5,4.5]（近負對，L2=1.0）。D(x4) 為本次新增的「近距離負對」，對應 L2&lt;C 的高懲罰情境。</w:t>
      </w:r>
    </w:p>
    <w:p>
      <w:pPr>
        <w:spacing w:before="120" w:after="40"/>
        <w:jc w:val="left"/>
      </w:pPr>
      <w:r>
        <w:rPr>
          <w:rFonts w:ascii="Times New Roman" w:hAnsi="Times New Roman"/>
          <w:i/>
          <w:sz w:val="24"/>
        </w:rPr>
        <w:t xml:space="preserve">B. </w:t>
      </w:r>
      <w:r>
        <w:rPr>
          <w:rFonts w:ascii="Times New Roman" w:hAnsi="Times New Roman"/>
          <w:i/>
          <w:sz w:val="24"/>
        </w:rPr>
        <w:t>梯度方向驗證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對 D(x1) 與 D(x4)（L2=1.0&lt;C=2.0），梯度分析輸出 push direction=[-0.5,-0.5,-0.5,-0.5]，模擬 eta=0.1 更新後 L2=1.1（增加 0.1），驗證推離方向正確。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IV. 實驗結果 (EXPERIMENTAL RESULTS)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以 C=2.0 執行，四類度量結果如表 I；損失掃描如表 II：</w:t>
      </w:r>
    </w:p>
    <w:p>
      <w:pPr>
        <w:spacing w:before="0" w:after="40" w:line="260" w:lineRule="exact"/>
        <w:jc w:val="left"/>
      </w:pPr>
      <w:r>
        <w:rPr>
          <w:rFonts w:ascii="Times New Roman" w:hAnsi="Times New Roman"/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979"/>
            <w:shd w:val="clear" w:color="auto" w:fill="D5E8F0"/>
          </w:tcPr>
          <w:p>
            <w:r>
              <w:rPr>
                <w:rFonts w:ascii="Times New Roman" w:hAnsi="Times New Roman"/>
                <w:b/>
                <w:sz w:val="20"/>
              </w:rPr>
              <w:t>度量</w:t>
            </w:r>
          </w:p>
        </w:tc>
        <w:tc>
          <w:tcPr>
            <w:tcW w:type="dxa" w:w="1979"/>
            <w:shd w:val="clear" w:color="auto" w:fill="D5E8F0"/>
          </w:tcPr>
          <w:p>
            <w:r>
              <w:rPr>
                <w:rFonts w:ascii="Times New Roman" w:hAnsi="Times New Roman"/>
                <w:b/>
                <w:sz w:val="20"/>
              </w:rPr>
              <w:t>正對</w:t>
            </w:r>
          </w:p>
        </w:tc>
        <w:tc>
          <w:tcPr>
            <w:tcW w:type="dxa" w:w="1979"/>
            <w:shd w:val="clear" w:color="auto" w:fill="D5E8F0"/>
          </w:tcPr>
          <w:p>
            <w:r>
              <w:rPr>
                <w:rFonts w:ascii="Times New Roman" w:hAnsi="Times New Roman"/>
                <w:b/>
                <w:sz w:val="20"/>
              </w:rPr>
              <w:t>遠負對</w:t>
            </w:r>
          </w:p>
        </w:tc>
        <w:tc>
          <w:tcPr>
            <w:tcW w:type="dxa" w:w="1979"/>
            <w:shd w:val="clear" w:color="auto" w:fill="D5E8F0"/>
          </w:tcPr>
          <w:p>
            <w:r>
              <w:rPr>
                <w:rFonts w:ascii="Times New Roman" w:hAnsi="Times New Roman"/>
                <w:b/>
                <w:sz w:val="20"/>
              </w:rPr>
              <w:t>近負對</w:t>
            </w:r>
          </w:p>
        </w:tc>
        <w:tc>
          <w:tcPr>
            <w:tcW w:type="dxa" w:w="1979"/>
            <w:shd w:val="clear" w:color="auto" w:fill="D5E8F0"/>
          </w:tcPr>
          <w:p>
            <w:r>
              <w:rPr>
                <w:rFonts w:ascii="Times New Roman" w:hAnsi="Times New Roman"/>
                <w:b/>
                <w:sz w:val="20"/>
              </w:rPr>
              <w:t>複雜度</w:t>
            </w:r>
          </w:p>
        </w:tc>
      </w:tr>
      <w:tr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L1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0.4000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11.5000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2.0000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O(n)</w:t>
            </w:r>
          </w:p>
        </w:tc>
      </w:tr>
      <w:tr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L2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0.2000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6.2650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O(n)</w:t>
            </w:r>
          </w:p>
        </w:tc>
      </w:tr>
      <w:tr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Cosine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0.9994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0.7783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0.9980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O(n)</w:t>
            </w:r>
          </w:p>
        </w:tc>
      </w:tr>
      <w:tr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Contrastive Loss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1.8000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0.0000 ✓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O(n)</w:t>
            </w:r>
          </w:p>
        </w:tc>
      </w:tr>
    </w:tbl>
    <w:p>
      <w:pPr>
        <w:spacing w:before="0" w:after="80" w:line="260" w:lineRule="exact"/>
        <w:jc w:val="center"/>
      </w:pPr>
      <w:r>
        <w:rPr>
          <w:rFonts w:ascii="Times New Roman" w:hAnsi="Times New Roman"/>
          <w:b w:val="0"/>
          <w:i/>
          <w:sz w:val="20"/>
        </w:rPr>
        <w:t>TABLE I.  四向量度量結果（C=2.0）</w:t>
      </w:r>
    </w:p>
    <w:p>
      <w:pPr>
        <w:spacing w:before="0" w:after="40" w:line="260" w:lineRule="exact"/>
        <w:jc w:val="left"/>
      </w:pPr>
      <w:r>
        <w:rPr>
          <w:rFonts w:ascii="Times New Roman" w:hAnsi="Times New Roman"/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979"/>
            <w:shd w:val="clear" w:color="auto" w:fill="D5E8F0"/>
          </w:tcPr>
          <w:p>
            <w:r>
              <w:rPr>
                <w:rFonts w:ascii="Times New Roman" w:hAnsi="Times New Roman"/>
                <w:b/>
                <w:sz w:val="20"/>
              </w:rPr>
              <w:t>L2 dist</w:t>
            </w:r>
          </w:p>
        </w:tc>
        <w:tc>
          <w:tcPr>
            <w:tcW w:type="dxa" w:w="1979"/>
            <w:shd w:val="clear" w:color="auto" w:fill="D5E8F0"/>
          </w:tcPr>
          <w:p>
            <w:r>
              <w:rPr>
                <w:rFonts w:ascii="Times New Roman" w:hAnsi="Times New Roman"/>
                <w:b/>
                <w:sz w:val="20"/>
              </w:rPr>
              <w:t>Loss L</w:t>
            </w:r>
          </w:p>
        </w:tc>
        <w:tc>
          <w:tcPr>
            <w:tcW w:type="dxa" w:w="1979"/>
            <w:shd w:val="clear" w:color="auto" w:fill="D5E8F0"/>
          </w:tcPr>
          <w:p>
            <w:r>
              <w:rPr>
                <w:rFonts w:ascii="Times New Roman" w:hAnsi="Times New Roman"/>
                <w:b/>
                <w:sz w:val="20"/>
              </w:rPr>
              <w:t>Full(y=1)</w:t>
            </w:r>
          </w:p>
        </w:tc>
        <w:tc>
          <w:tcPr>
            <w:tcW w:type="dxa" w:w="1979"/>
            <w:shd w:val="clear" w:color="auto" w:fill="D5E8F0"/>
          </w:tcPr>
          <w:p>
            <w:r>
              <w:rPr>
                <w:rFonts w:ascii="Times New Roman" w:hAnsi="Times New Roman"/>
                <w:b/>
                <w:sz w:val="20"/>
              </w:rPr>
              <w:t>Full(y=0)</w:t>
            </w:r>
          </w:p>
        </w:tc>
        <w:tc>
          <w:tcPr>
            <w:tcW w:type="dxa" w:w="1979"/>
            <w:shd w:val="clear" w:color="auto" w:fill="D5E8F0"/>
          </w:tcPr>
          <w:p>
            <w:r>
              <w:rPr>
                <w:rFonts w:ascii="Times New Roman" w:hAnsi="Times New Roman"/>
                <w:b/>
                <w:sz w:val="20"/>
              </w:rPr>
              <w:t>狀態</w:t>
            </w:r>
          </w:p>
        </w:tc>
      </w:tr>
      <w:tr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2.0000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4.0000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penalized</w:t>
            </w:r>
          </w:p>
        </w:tc>
      </w:tr>
      <w:tr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penalized</w:t>
            </w:r>
          </w:p>
        </w:tc>
      </w:tr>
      <w:tr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4.0000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no penalty ✓</w:t>
            </w:r>
          </w:p>
        </w:tc>
      </w:tr>
      <w:tr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9.0000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sz w:val="20"/>
              </w:rPr>
              <w:t>no penalty ✓</w:t>
            </w:r>
          </w:p>
        </w:tc>
      </w:tr>
    </w:tbl>
    <w:p>
      <w:pPr>
        <w:spacing w:before="0" w:after="120" w:line="260" w:lineRule="exact"/>
        <w:jc w:val="center"/>
      </w:pPr>
      <w:r>
        <w:rPr>
          <w:rFonts w:ascii="Times New Roman" w:hAnsi="Times New Roman"/>
          <w:b w:val="0"/>
          <w:i/>
          <w:sz w:val="20"/>
        </w:rPr>
        <w:t>TABLE II.  損失掃描（C=2.0，hinge 在 dist=C 歸零）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梯度分析結果：D(x1) 與 D(x4)（近負對，L2=1.0）的推離方向為 [-0.5,-0.5,-0.5,-0.5]，eta=0.1 更新後 L2 從 1.000 增至 1.100，推離效果正確。遠負對（L2=6.27&gt;C=2.0）損失為零，梯度為零向量，無更新。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V. 討論與結論 (DISCUSSION &amp; CONCLUSION)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本重製版新增三項核心內容。第一，FeatureVector 封裝使各距離類別不需直接操作 double[]，提升型別安全性與可讀性。第二，GradientAnalysis 類別完整說明對比損失的梯度方向，連接理論公式與實際梯度下降更新，是理解「如何訓練對比學習模型」的關鍵橋梁。第三，損失掃描（sweepDemo）以表格形式直觀展示 hinge 損失的分段特性：dist&lt;C 時線性遞減，dist≥C 時恆為零，此特性使模型僅對困難負對（hard negatives）產生梯度，提升訓練效率。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所有六個類別的時間複雜度均為 O(n)，n 為嵌入向量維度，符合大規模對比學習的工程要求。未來可延伸至 Triplet Loss、NT-Xent（InfoNCE），或以 GPU 批次化計算實現實際訓練迴圈。</w:t>
      </w:r>
    </w:p>
    <w:p>
      <w:pPr>
        <w:spacing w:before="160" w:after="40" w:line="260" w:lineRule="exact"/>
        <w:jc w:val="left"/>
      </w:pPr>
      <w:r>
        <w:rPr>
          <w:rFonts w:ascii="Times New Roman" w:hAnsi="Times New Roman"/>
          <w:b/>
          <w:i w:val="0"/>
          <w:sz w:val="24"/>
        </w:rPr>
        <w:t>Acknowledgment</w:t>
      </w:r>
    </w:p>
    <w:p>
      <w:pPr>
        <w:spacing w:before="0" w:after="80" w:line="26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4"/>
        </w:rPr>
        <w:t>作者翁祺展感謝黃祥睿講師設計本次結合資訊理論、度量學習與梯度分析的演算法作業，以及國立澎湖科技大學資訊工程學系提供完善的學習環境。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after="40"/>
        <w:ind w:left="360" w:hanging="360"/>
        <w:jc w:val="left"/>
      </w:pPr>
      <w:r>
        <w:rPr>
          <w:rFonts w:ascii="Times New Roman" w:hAnsi="Times New Roman"/>
          <w:sz w:val="20"/>
        </w:rPr>
        <w:t>[1] 黃祥睿 (Xiang-Rui Huang), "Lecture 7: Optimize Distance Equation," 演算法, NPUST, 2026.</w:t>
      </w:r>
    </w:p>
    <w:p>
      <w:pPr>
        <w:spacing w:after="40"/>
        <w:ind w:left="360" w:hanging="360"/>
        <w:jc w:val="left"/>
      </w:pPr>
      <w:r>
        <w:rPr>
          <w:rFonts w:ascii="Times New Roman" w:hAnsi="Times New Roman"/>
          <w:sz w:val="20"/>
        </w:rPr>
        <w:t>[2] R. Hadsell, S. Chopra, and Y. LeCun, "Dimensionality reduction by learning an invariant mapping," CVPR, pp. 1735–1742, 2006.</w:t>
      </w:r>
    </w:p>
    <w:p>
      <w:pPr>
        <w:spacing w:after="40"/>
        <w:ind w:left="360" w:hanging="360"/>
        <w:jc w:val="left"/>
      </w:pPr>
      <w:r>
        <w:rPr>
          <w:rFonts w:ascii="Times New Roman" w:hAnsi="Times New Roman"/>
          <w:sz w:val="20"/>
        </w:rPr>
        <w:t>[3] T. Chen, S. Kornblith, M. Norouzi, and G. Hinton, "A simple framework for contrastive learning of visual representations," ICML, 2020.</w:t>
      </w:r>
    </w:p>
    <w:p>
      <w:pPr>
        <w:spacing w:after="40"/>
        <w:ind w:left="360" w:hanging="360"/>
        <w:jc w:val="left"/>
      </w:pPr>
      <w:r>
        <w:rPr>
          <w:rFonts w:ascii="Times New Roman" w:hAnsi="Times New Roman"/>
          <w:sz w:val="20"/>
        </w:rPr>
        <w:t>[4] A. van den Oord, Y. Li, and O. Vinyals, "Representation learning with contrastive predictive coding," arXiv:1807.03748, 2018.</w:t>
      </w:r>
    </w:p>
    <w:p>
      <w:pPr>
        <w:spacing w:after="40"/>
        <w:ind w:left="360" w:hanging="360"/>
        <w:jc w:val="left"/>
      </w:pPr>
      <w:r>
        <w:rPr>
          <w:rFonts w:ascii="Times New Roman" w:hAnsi="Times New Roman"/>
          <w:sz w:val="20"/>
        </w:rPr>
        <w:t>[5] Oracle, "Java SE Documentation," [Online]. Available: https://docs.oracle.com/en/java/</w:t>
      </w:r>
    </w:p>
    <w:sectPr w:rsidR="00FC693F" w:rsidRPr="0006063C" w:rsidSect="00034616">
      <w:pgSz w:w="11909" w:h="16834"/>
      <w:pgMar w:top="1296" w:right="1008" w:bottom="1296" w:left="1008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