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39FB" w14:textId="66C6AF34" w:rsidR="002A2766" w:rsidRPr="00F921FB" w:rsidRDefault="009D183A" w:rsidP="009D183A">
      <w:pPr>
        <w:jc w:val="center"/>
        <w:rPr>
          <w:rFonts w:ascii="Segoe UI" w:hAnsi="Segoe UI" w:cs="Segoe UI"/>
          <w:b/>
          <w:bCs/>
          <w:sz w:val="40"/>
          <w:szCs w:val="40"/>
        </w:rPr>
      </w:pPr>
      <w:r w:rsidRPr="00F921FB">
        <w:rPr>
          <w:rFonts w:ascii="Segoe UI" w:hAnsi="Segoe UI" w:cs="Segoe UI"/>
          <w:b/>
          <w:bCs/>
          <w:sz w:val="40"/>
          <w:szCs w:val="40"/>
        </w:rPr>
        <w:t>Final Project Part 1</w:t>
      </w:r>
    </w:p>
    <w:p w14:paraId="6F3C3D0C" w14:textId="033FD4D8" w:rsidR="009D183A" w:rsidRDefault="009D183A" w:rsidP="009D183A">
      <w:pPr>
        <w:jc w:val="center"/>
        <w:rPr>
          <w:rFonts w:ascii="Segoe UI" w:hAnsi="Segoe UI" w:cs="Segoe UI"/>
          <w:sz w:val="24"/>
          <w:szCs w:val="24"/>
        </w:rPr>
      </w:pPr>
      <w:r>
        <w:rPr>
          <w:rFonts w:ascii="Segoe UI" w:hAnsi="Segoe UI" w:cs="Segoe UI"/>
          <w:sz w:val="24"/>
          <w:szCs w:val="24"/>
        </w:rPr>
        <w:t>Lam Le</w:t>
      </w:r>
    </w:p>
    <w:p w14:paraId="42D50EFA" w14:textId="2934BD54" w:rsidR="009D183A" w:rsidRDefault="00AA2962" w:rsidP="009D183A">
      <w:pPr>
        <w:rPr>
          <w:rFonts w:ascii="Segoe UI" w:hAnsi="Segoe UI" w:cs="Segoe UI"/>
          <w:sz w:val="24"/>
          <w:szCs w:val="24"/>
        </w:rPr>
      </w:pPr>
      <w:r w:rsidRPr="00F921FB">
        <w:rPr>
          <w:rFonts w:ascii="Segoe UI" w:hAnsi="Segoe UI" w:cs="Segoe UI"/>
          <w:sz w:val="32"/>
          <w:szCs w:val="32"/>
        </w:rPr>
        <w:t>Cause</w:t>
      </w:r>
      <w:r>
        <w:rPr>
          <w:rFonts w:ascii="Segoe UI" w:hAnsi="Segoe UI" w:cs="Segoe UI"/>
          <w:sz w:val="24"/>
          <w:szCs w:val="24"/>
        </w:rPr>
        <w:t>: Gender Inequality at Workplace</w:t>
      </w:r>
    </w:p>
    <w:p w14:paraId="67500E0A" w14:textId="3CA9D088" w:rsidR="00AA2962" w:rsidRDefault="00AA2962" w:rsidP="009D183A">
      <w:pPr>
        <w:rPr>
          <w:rFonts w:ascii="Segoe UI" w:hAnsi="Segoe UI" w:cs="Segoe UI"/>
          <w:sz w:val="24"/>
          <w:szCs w:val="24"/>
        </w:rPr>
      </w:pPr>
      <w:r w:rsidRPr="00F921FB">
        <w:rPr>
          <w:rFonts w:ascii="Segoe UI" w:hAnsi="Segoe UI" w:cs="Segoe UI"/>
          <w:sz w:val="32"/>
          <w:szCs w:val="32"/>
        </w:rPr>
        <w:t>Description</w:t>
      </w:r>
      <w:r>
        <w:rPr>
          <w:rFonts w:ascii="Segoe UI" w:hAnsi="Segoe UI" w:cs="Segoe UI"/>
          <w:sz w:val="24"/>
          <w:szCs w:val="24"/>
        </w:rPr>
        <w:t xml:space="preserve">: </w:t>
      </w:r>
    </w:p>
    <w:p w14:paraId="59B1D369" w14:textId="5E9B3269" w:rsidR="004A3FB9" w:rsidRDefault="004A3FB9" w:rsidP="009D183A">
      <w:pPr>
        <w:rPr>
          <w:rFonts w:ascii="Segoe UI" w:hAnsi="Segoe UI" w:cs="Segoe UI"/>
          <w:sz w:val="24"/>
          <w:szCs w:val="24"/>
        </w:rPr>
      </w:pPr>
      <w:r>
        <w:rPr>
          <w:rFonts w:ascii="Segoe UI" w:hAnsi="Segoe UI" w:cs="Segoe UI"/>
          <w:sz w:val="24"/>
          <w:szCs w:val="24"/>
        </w:rPr>
        <w:t>Although feminism is growing to fight for equality between women and men, women are still at the lower end at workplace like receiving lower salary compared to men at the same position</w:t>
      </w:r>
      <w:r w:rsidR="00AE4EDE">
        <w:rPr>
          <w:rFonts w:ascii="Segoe UI" w:hAnsi="Segoe UI" w:cs="Segoe UI"/>
          <w:sz w:val="24"/>
          <w:szCs w:val="24"/>
        </w:rPr>
        <w:t xml:space="preserve">. </w:t>
      </w:r>
      <w:r w:rsidR="009931FA">
        <w:rPr>
          <w:rFonts w:ascii="Segoe UI" w:hAnsi="Segoe UI" w:cs="Segoe UI"/>
          <w:sz w:val="24"/>
          <w:szCs w:val="24"/>
        </w:rPr>
        <w:t xml:space="preserve">The reason for this inequity is </w:t>
      </w:r>
      <w:r w:rsidR="00AD641C">
        <w:rPr>
          <w:rFonts w:ascii="Segoe UI" w:hAnsi="Segoe UI" w:cs="Segoe UI"/>
          <w:sz w:val="24"/>
          <w:szCs w:val="24"/>
        </w:rPr>
        <w:t>that men is believed to possess characteristics that women don’t such as leadership or courage.</w:t>
      </w:r>
    </w:p>
    <w:p w14:paraId="02E9BCEA" w14:textId="37CA49ED" w:rsidR="00BC0F26" w:rsidRDefault="00361E98" w:rsidP="009D183A">
      <w:pPr>
        <w:rPr>
          <w:rFonts w:ascii="Segoe UI" w:hAnsi="Segoe UI" w:cs="Segoe UI"/>
          <w:sz w:val="24"/>
          <w:szCs w:val="24"/>
        </w:rPr>
      </w:pPr>
      <w:r w:rsidRPr="00F921FB">
        <w:rPr>
          <w:rFonts w:ascii="Segoe UI" w:hAnsi="Segoe UI" w:cs="Segoe UI"/>
          <w:sz w:val="32"/>
          <w:szCs w:val="32"/>
        </w:rPr>
        <w:t>Data collected</w:t>
      </w:r>
      <w:r w:rsidR="00F921FB" w:rsidRPr="00F921FB">
        <w:rPr>
          <w:rFonts w:ascii="Segoe UI" w:hAnsi="Segoe UI" w:cs="Segoe UI"/>
          <w:sz w:val="32"/>
          <w:szCs w:val="32"/>
        </w:rPr>
        <w:t>/ Dimensions</w:t>
      </w:r>
      <w:r w:rsidR="00F921FB">
        <w:rPr>
          <w:rFonts w:ascii="Segoe UI" w:hAnsi="Segoe UI" w:cs="Segoe UI"/>
          <w:sz w:val="24"/>
          <w:szCs w:val="24"/>
        </w:rPr>
        <w:t>:</w:t>
      </w:r>
    </w:p>
    <w:p w14:paraId="46BBDDB0" w14:textId="1A012288" w:rsidR="00F921FB" w:rsidRPr="00F921FB" w:rsidRDefault="00F921FB" w:rsidP="00030BB8">
      <w:pPr>
        <w:pStyle w:val="ListParagraph"/>
        <w:numPr>
          <w:ilvl w:val="0"/>
          <w:numId w:val="1"/>
        </w:numPr>
        <w:rPr>
          <w:rFonts w:ascii="Segoe UI" w:hAnsi="Segoe UI" w:cs="Segoe UI"/>
          <w:sz w:val="32"/>
          <w:szCs w:val="32"/>
        </w:rPr>
      </w:pPr>
      <w:r w:rsidRPr="00F921FB">
        <w:rPr>
          <w:rFonts w:ascii="Segoe UI" w:hAnsi="Segoe UI" w:cs="Segoe UI"/>
          <w:sz w:val="28"/>
          <w:szCs w:val="28"/>
          <w:u w:val="single"/>
        </w:rPr>
        <w:t>Earning by educational attainment</w:t>
      </w:r>
    </w:p>
    <w:p w14:paraId="7F00C6BA" w14:textId="6682E5EF" w:rsidR="00A429FF" w:rsidRPr="00030BB8" w:rsidRDefault="00A429FF" w:rsidP="00F921FB">
      <w:pPr>
        <w:pStyle w:val="ListParagraph"/>
        <w:rPr>
          <w:rFonts w:ascii="Segoe UI" w:hAnsi="Segoe UI" w:cs="Segoe UI"/>
          <w:sz w:val="28"/>
          <w:szCs w:val="28"/>
        </w:rPr>
      </w:pPr>
      <w:r w:rsidRPr="00030BB8">
        <w:rPr>
          <w:rFonts w:ascii="Segoe UI" w:hAnsi="Segoe UI" w:cs="Segoe UI"/>
          <w:sz w:val="24"/>
          <w:szCs w:val="24"/>
        </w:rPr>
        <w:t xml:space="preserve">Bureau of Labor Statistics. "Median Weekly Earnings of Full-time Wage and Salary Workers in The United States in 2018, by Educational Attainment and Gender (in Current U.S. Dollars)." </w:t>
      </w:r>
      <w:r w:rsidRPr="00030BB8">
        <w:rPr>
          <w:rStyle w:val="italic"/>
          <w:rFonts w:ascii="Segoe UI" w:hAnsi="Segoe UI" w:cs="Segoe UI"/>
          <w:sz w:val="24"/>
          <w:szCs w:val="24"/>
        </w:rPr>
        <w:t>Statista</w:t>
      </w:r>
      <w:r w:rsidRPr="00030BB8">
        <w:rPr>
          <w:rFonts w:ascii="Segoe UI" w:hAnsi="Segoe UI" w:cs="Segoe UI"/>
          <w:sz w:val="24"/>
          <w:szCs w:val="24"/>
        </w:rPr>
        <w:t xml:space="preserve">, Statista Inc., 17 Jan 2019, </w:t>
      </w:r>
      <w:hyperlink r:id="rId5" w:history="1">
        <w:r w:rsidR="00030BB8" w:rsidRPr="00C24B9D">
          <w:rPr>
            <w:rStyle w:val="Hyperlink"/>
            <w:rFonts w:ascii="Segoe UI" w:hAnsi="Segoe UI" w:cs="Segoe UI"/>
            <w:sz w:val="24"/>
            <w:szCs w:val="24"/>
          </w:rPr>
          <w:t>https://www.statista.com/statistics/185332/median-weekly-earnings-of-full-time-wage-and-salary-workers-by-educational-attainment/</w:t>
        </w:r>
      </w:hyperlink>
    </w:p>
    <w:p w14:paraId="51C8643F" w14:textId="7FE447A7" w:rsidR="00F921FB" w:rsidRPr="00F921FB" w:rsidRDefault="00F921FB" w:rsidP="00030BB8">
      <w:pPr>
        <w:pStyle w:val="ListParagraph"/>
        <w:numPr>
          <w:ilvl w:val="0"/>
          <w:numId w:val="1"/>
        </w:numPr>
        <w:rPr>
          <w:rFonts w:ascii="Segoe UI" w:hAnsi="Segoe UI" w:cs="Segoe UI"/>
          <w:sz w:val="36"/>
          <w:szCs w:val="36"/>
        </w:rPr>
      </w:pPr>
      <w:r w:rsidRPr="00F921FB">
        <w:rPr>
          <w:rFonts w:ascii="Segoe UI" w:hAnsi="Segoe UI" w:cs="Segoe UI"/>
          <w:sz w:val="28"/>
          <w:szCs w:val="28"/>
          <w:u w:val="single"/>
        </w:rPr>
        <w:t>Earning ratio through time</w:t>
      </w:r>
    </w:p>
    <w:p w14:paraId="6EEEA29B" w14:textId="3872B5CE" w:rsidR="00030BB8" w:rsidRDefault="00030BB8" w:rsidP="00F921FB">
      <w:pPr>
        <w:pStyle w:val="ListParagraph"/>
        <w:rPr>
          <w:rFonts w:ascii="Segoe UI" w:hAnsi="Segoe UI" w:cs="Segoe UI"/>
          <w:sz w:val="24"/>
          <w:szCs w:val="24"/>
        </w:rPr>
      </w:pPr>
      <w:r w:rsidRPr="00F558B0">
        <w:rPr>
          <w:rFonts w:ascii="Segoe UI" w:hAnsi="Segoe UI" w:cs="Segoe UI"/>
          <w:sz w:val="24"/>
          <w:szCs w:val="24"/>
        </w:rPr>
        <w:t xml:space="preserve">US Census Bureau. "Female to Male Earnings Ratio of Workers in The U.S. from 1990 to 2018." </w:t>
      </w:r>
      <w:r w:rsidRPr="00F558B0">
        <w:rPr>
          <w:rStyle w:val="italic"/>
          <w:rFonts w:ascii="Segoe UI" w:hAnsi="Segoe UI" w:cs="Segoe UI"/>
          <w:sz w:val="24"/>
          <w:szCs w:val="24"/>
        </w:rPr>
        <w:t>Statista</w:t>
      </w:r>
      <w:r w:rsidRPr="00F558B0">
        <w:rPr>
          <w:rFonts w:ascii="Segoe UI" w:hAnsi="Segoe UI" w:cs="Segoe UI"/>
          <w:sz w:val="24"/>
          <w:szCs w:val="24"/>
        </w:rPr>
        <w:t xml:space="preserve">, Statista Inc., 10 Sep 2019, </w:t>
      </w:r>
      <w:hyperlink r:id="rId6" w:history="1">
        <w:r w:rsidRPr="00F558B0">
          <w:rPr>
            <w:rStyle w:val="Hyperlink"/>
            <w:rFonts w:ascii="Segoe UI" w:hAnsi="Segoe UI" w:cs="Segoe UI"/>
            <w:sz w:val="24"/>
            <w:szCs w:val="24"/>
          </w:rPr>
          <w:t>https://www.statista.com/statistics/203459/female-to-male-earnings-ratio-of-workers-in-the-us/</w:t>
        </w:r>
      </w:hyperlink>
    </w:p>
    <w:p w14:paraId="635214A8" w14:textId="00B6CD70" w:rsidR="00E935EB" w:rsidRPr="00E935EB" w:rsidRDefault="001B0AEA" w:rsidP="00E935EB">
      <w:pPr>
        <w:pStyle w:val="ListParagraph"/>
        <w:rPr>
          <w:rFonts w:ascii="Segoe UI" w:hAnsi="Segoe UI" w:cs="Segoe UI"/>
          <w:sz w:val="24"/>
          <w:szCs w:val="24"/>
        </w:rPr>
      </w:pPr>
      <w:hyperlink r:id="rId7" w:history="1">
        <w:r w:rsidR="00E935EB" w:rsidRPr="009753C7">
          <w:rPr>
            <w:rStyle w:val="Hyperlink"/>
            <w:rFonts w:ascii="Segoe UI" w:hAnsi="Segoe UI" w:cs="Segoe UI"/>
            <w:sz w:val="24"/>
            <w:szCs w:val="24"/>
          </w:rPr>
          <w:t>https://www.bls.gov/news.release/wkyeng.t01.htm</w:t>
        </w:r>
      </w:hyperlink>
    </w:p>
    <w:p w14:paraId="1C82D7BE" w14:textId="766B4C89" w:rsidR="000346AA" w:rsidRPr="000346AA" w:rsidRDefault="000346AA" w:rsidP="00030BB8">
      <w:pPr>
        <w:pStyle w:val="ListParagraph"/>
        <w:numPr>
          <w:ilvl w:val="0"/>
          <w:numId w:val="1"/>
        </w:numPr>
        <w:rPr>
          <w:rFonts w:ascii="Segoe UI" w:hAnsi="Segoe UI" w:cs="Segoe UI"/>
          <w:sz w:val="32"/>
          <w:szCs w:val="32"/>
        </w:rPr>
      </w:pPr>
      <w:r>
        <w:rPr>
          <w:rFonts w:ascii="Segoe UI" w:hAnsi="Segoe UI" w:cs="Segoe UI"/>
          <w:sz w:val="28"/>
          <w:szCs w:val="28"/>
          <w:u w:val="single"/>
        </w:rPr>
        <w:t>Earning ratio by age group</w:t>
      </w:r>
    </w:p>
    <w:p w14:paraId="0AE778F2" w14:textId="3A424CA3" w:rsidR="00030BB8" w:rsidRPr="00F558B0" w:rsidRDefault="00030BB8" w:rsidP="000346AA">
      <w:pPr>
        <w:pStyle w:val="ListParagraph"/>
        <w:rPr>
          <w:rFonts w:ascii="Segoe UI" w:hAnsi="Segoe UI" w:cs="Segoe UI"/>
          <w:sz w:val="32"/>
          <w:szCs w:val="32"/>
        </w:rPr>
      </w:pPr>
      <w:r w:rsidRPr="00F558B0">
        <w:rPr>
          <w:rFonts w:ascii="Segoe UI" w:hAnsi="Segoe UI" w:cs="Segoe UI"/>
          <w:sz w:val="24"/>
          <w:szCs w:val="24"/>
        </w:rPr>
        <w:t xml:space="preserve">Bureau of Labor Statistics. "Female to Male Earnings Ratio of Workers in The U.S. in Q4 2018, by Age Group." </w:t>
      </w:r>
      <w:r w:rsidRPr="00F558B0">
        <w:rPr>
          <w:rStyle w:val="italic"/>
          <w:rFonts w:ascii="Segoe UI" w:hAnsi="Segoe UI" w:cs="Segoe UI"/>
          <w:sz w:val="24"/>
          <w:szCs w:val="24"/>
        </w:rPr>
        <w:t>Statista</w:t>
      </w:r>
      <w:r w:rsidRPr="00F558B0">
        <w:rPr>
          <w:rFonts w:ascii="Segoe UI" w:hAnsi="Segoe UI" w:cs="Segoe UI"/>
          <w:sz w:val="24"/>
          <w:szCs w:val="24"/>
        </w:rPr>
        <w:t xml:space="preserve">, Statista Inc., 17 Jan 2019, </w:t>
      </w:r>
      <w:hyperlink r:id="rId8" w:history="1">
        <w:r w:rsidRPr="00F558B0">
          <w:rPr>
            <w:rStyle w:val="Hyperlink"/>
            <w:rFonts w:ascii="Segoe UI" w:hAnsi="Segoe UI" w:cs="Segoe UI"/>
            <w:sz w:val="24"/>
            <w:szCs w:val="24"/>
          </w:rPr>
          <w:t>https://www.statista.com/statistics/244383/female-to-male-earnings-ratio-of-workers-in-the-us-by-age/</w:t>
        </w:r>
      </w:hyperlink>
    </w:p>
    <w:p w14:paraId="562974C0" w14:textId="0FBC08A7" w:rsidR="000346AA" w:rsidRPr="000346AA" w:rsidRDefault="000346AA" w:rsidP="00030BB8">
      <w:pPr>
        <w:pStyle w:val="ListParagraph"/>
        <w:numPr>
          <w:ilvl w:val="0"/>
          <w:numId w:val="1"/>
        </w:numPr>
        <w:rPr>
          <w:rFonts w:ascii="Segoe UI" w:hAnsi="Segoe UI" w:cs="Segoe UI"/>
          <w:sz w:val="32"/>
          <w:szCs w:val="32"/>
        </w:rPr>
      </w:pPr>
      <w:r>
        <w:rPr>
          <w:rFonts w:ascii="Segoe UI" w:hAnsi="Segoe UI" w:cs="Segoe UI"/>
          <w:sz w:val="28"/>
          <w:szCs w:val="28"/>
          <w:u w:val="single"/>
        </w:rPr>
        <w:t>Earning ratio by industry</w:t>
      </w:r>
    </w:p>
    <w:p w14:paraId="703FDB89" w14:textId="77777777" w:rsidR="00413F4A" w:rsidRDefault="00B67C19" w:rsidP="00413F4A">
      <w:pPr>
        <w:pStyle w:val="ListParagraph"/>
        <w:rPr>
          <w:rFonts w:ascii="Segoe UI" w:hAnsi="Segoe UI" w:cs="Segoe UI"/>
          <w:sz w:val="24"/>
          <w:szCs w:val="24"/>
        </w:rPr>
      </w:pPr>
      <w:r w:rsidRPr="00F558B0">
        <w:rPr>
          <w:rFonts w:ascii="Segoe UI" w:hAnsi="Segoe UI" w:cs="Segoe UI"/>
          <w:sz w:val="24"/>
          <w:szCs w:val="24"/>
        </w:rPr>
        <w:t xml:space="preserve">Bureau of Labor Statistics. "Gender Wage Gap by Industry in The United States in 2017, by Median Weekly Earnings (in U.S. Dollars)." </w:t>
      </w:r>
      <w:r w:rsidRPr="00F558B0">
        <w:rPr>
          <w:rStyle w:val="italic"/>
          <w:rFonts w:ascii="Segoe UI" w:hAnsi="Segoe UI" w:cs="Segoe UI"/>
          <w:sz w:val="24"/>
          <w:szCs w:val="24"/>
        </w:rPr>
        <w:t>Statista</w:t>
      </w:r>
      <w:r w:rsidRPr="00F558B0">
        <w:rPr>
          <w:rFonts w:ascii="Segoe UI" w:hAnsi="Segoe UI" w:cs="Segoe UI"/>
          <w:sz w:val="24"/>
          <w:szCs w:val="24"/>
        </w:rPr>
        <w:t xml:space="preserve">, Statista Inc., 31 Dec 2018, </w:t>
      </w:r>
      <w:hyperlink r:id="rId9" w:history="1">
        <w:r w:rsidRPr="00F558B0">
          <w:rPr>
            <w:rStyle w:val="Hyperlink"/>
            <w:rFonts w:ascii="Segoe UI" w:hAnsi="Segoe UI" w:cs="Segoe UI"/>
            <w:sz w:val="24"/>
            <w:szCs w:val="24"/>
          </w:rPr>
          <w:t>https://www.statista.com/statistics/244202/us-gender-wage-gap-by-industry/</w:t>
        </w:r>
      </w:hyperlink>
    </w:p>
    <w:p w14:paraId="395FAF69" w14:textId="705ABF10" w:rsidR="000346AA" w:rsidRPr="00413F4A" w:rsidRDefault="000346AA" w:rsidP="00413F4A">
      <w:pPr>
        <w:pStyle w:val="ListParagraph"/>
        <w:numPr>
          <w:ilvl w:val="0"/>
          <w:numId w:val="1"/>
        </w:numPr>
        <w:rPr>
          <w:rFonts w:ascii="Segoe UI" w:hAnsi="Segoe UI" w:cs="Segoe UI"/>
          <w:sz w:val="24"/>
          <w:szCs w:val="24"/>
        </w:rPr>
      </w:pPr>
      <w:r w:rsidRPr="00413F4A">
        <w:rPr>
          <w:rFonts w:ascii="Segoe UI" w:hAnsi="Segoe UI" w:cs="Segoe UI"/>
          <w:sz w:val="28"/>
          <w:szCs w:val="28"/>
          <w:u w:val="single"/>
        </w:rPr>
        <w:t>Pay gap by occupations</w:t>
      </w:r>
    </w:p>
    <w:p w14:paraId="1753D2B5" w14:textId="3BA4B926" w:rsidR="00B67C19" w:rsidRPr="00F558B0" w:rsidRDefault="00B67C19" w:rsidP="000346AA">
      <w:pPr>
        <w:pStyle w:val="ListParagraph"/>
        <w:rPr>
          <w:rFonts w:ascii="Segoe UI" w:hAnsi="Segoe UI" w:cs="Segoe UI"/>
          <w:sz w:val="32"/>
          <w:szCs w:val="32"/>
        </w:rPr>
      </w:pPr>
      <w:r w:rsidRPr="00F558B0">
        <w:rPr>
          <w:rFonts w:ascii="Segoe UI" w:hAnsi="Segoe UI" w:cs="Segoe UI"/>
          <w:sz w:val="24"/>
          <w:szCs w:val="24"/>
        </w:rPr>
        <w:lastRenderedPageBreak/>
        <w:t xml:space="preserve">Bureau of Labor Statistics. "Gender Wage Gap for The 20 Most Common Occupations for Women in The U.S. in 2017, by Median Weekly Earnings (in U.S. Dollars)." </w:t>
      </w:r>
      <w:r w:rsidRPr="00F558B0">
        <w:rPr>
          <w:rStyle w:val="italic"/>
          <w:rFonts w:ascii="Segoe UI" w:hAnsi="Segoe UI" w:cs="Segoe UI"/>
          <w:sz w:val="24"/>
          <w:szCs w:val="24"/>
        </w:rPr>
        <w:t>Statista</w:t>
      </w:r>
      <w:r w:rsidRPr="00F558B0">
        <w:rPr>
          <w:rFonts w:ascii="Segoe UI" w:hAnsi="Segoe UI" w:cs="Segoe UI"/>
          <w:sz w:val="24"/>
          <w:szCs w:val="24"/>
        </w:rPr>
        <w:t xml:space="preserve">, Statista Inc., 31 Dec 2018, </w:t>
      </w:r>
      <w:hyperlink r:id="rId10" w:history="1">
        <w:r w:rsidRPr="00F558B0">
          <w:rPr>
            <w:rStyle w:val="Hyperlink"/>
            <w:rFonts w:ascii="Segoe UI" w:hAnsi="Segoe UI" w:cs="Segoe UI"/>
            <w:sz w:val="24"/>
            <w:szCs w:val="24"/>
          </w:rPr>
          <w:t>https://www.statista.com/statistics/244096/us-gender-wage-gap-for-the-20-most-common-occupations-for-women/</w:t>
        </w:r>
      </w:hyperlink>
    </w:p>
    <w:p w14:paraId="301B6A54" w14:textId="1E3FC2DE" w:rsidR="00B67C19" w:rsidRDefault="00B67C19" w:rsidP="00B67C19">
      <w:pPr>
        <w:pStyle w:val="ListParagraph"/>
        <w:rPr>
          <w:rFonts w:ascii="Segoe UI" w:hAnsi="Segoe UI" w:cs="Segoe UI"/>
          <w:sz w:val="24"/>
          <w:szCs w:val="24"/>
        </w:rPr>
      </w:pPr>
      <w:r w:rsidRPr="00F558B0">
        <w:rPr>
          <w:rFonts w:ascii="Segoe UI" w:hAnsi="Segoe UI" w:cs="Segoe UI"/>
          <w:sz w:val="24"/>
          <w:szCs w:val="24"/>
        </w:rPr>
        <w:t xml:space="preserve">Bureau of Labor Statistics. "Gender Wage Gap for The 20 Most Common Occupations for Men in The U.S. in 2018, by Median Weekly Earnings (in U.S. Dollars)." </w:t>
      </w:r>
      <w:r w:rsidRPr="00F558B0">
        <w:rPr>
          <w:rStyle w:val="italic"/>
          <w:rFonts w:ascii="Segoe UI" w:hAnsi="Segoe UI" w:cs="Segoe UI"/>
          <w:sz w:val="24"/>
          <w:szCs w:val="24"/>
        </w:rPr>
        <w:t>Statista</w:t>
      </w:r>
      <w:r w:rsidRPr="00F558B0">
        <w:rPr>
          <w:rFonts w:ascii="Segoe UI" w:hAnsi="Segoe UI" w:cs="Segoe UI"/>
          <w:sz w:val="24"/>
          <w:szCs w:val="24"/>
        </w:rPr>
        <w:t xml:space="preserve">, Statista Inc., 2 Apr 2019, </w:t>
      </w:r>
      <w:hyperlink r:id="rId11" w:history="1">
        <w:r w:rsidRPr="00F558B0">
          <w:rPr>
            <w:rStyle w:val="Hyperlink"/>
            <w:rFonts w:ascii="Segoe UI" w:hAnsi="Segoe UI" w:cs="Segoe UI"/>
            <w:sz w:val="24"/>
            <w:szCs w:val="24"/>
          </w:rPr>
          <w:t>https://www.statista.com/statistics/244192/us-gender-wage-gap-for-the-20-most-common-occupations-for-men/</w:t>
        </w:r>
      </w:hyperlink>
    </w:p>
    <w:p w14:paraId="0F2389BB" w14:textId="0D5E4CBD" w:rsidR="00931593" w:rsidRDefault="001B0AEA" w:rsidP="00B67C19">
      <w:pPr>
        <w:pStyle w:val="ListParagraph"/>
        <w:rPr>
          <w:rFonts w:ascii="Segoe UI" w:hAnsi="Segoe UI" w:cs="Segoe UI"/>
          <w:sz w:val="24"/>
          <w:szCs w:val="24"/>
        </w:rPr>
      </w:pPr>
      <w:hyperlink r:id="rId12" w:history="1">
        <w:r w:rsidR="00931593" w:rsidRPr="009753C7">
          <w:rPr>
            <w:rStyle w:val="Hyperlink"/>
            <w:rFonts w:ascii="Segoe UI" w:hAnsi="Segoe UI" w:cs="Segoe UI"/>
            <w:sz w:val="24"/>
            <w:szCs w:val="24"/>
          </w:rPr>
          <w:t>https://www.bls.gov/news.release/wkyeng.t04.htm</w:t>
        </w:r>
      </w:hyperlink>
    </w:p>
    <w:p w14:paraId="72DE5E5A" w14:textId="77777777" w:rsidR="00931593" w:rsidRPr="00931593" w:rsidRDefault="00931593" w:rsidP="00931593">
      <w:pPr>
        <w:rPr>
          <w:rFonts w:ascii="Segoe UI" w:hAnsi="Segoe UI" w:cs="Segoe UI"/>
          <w:sz w:val="24"/>
          <w:szCs w:val="24"/>
        </w:rPr>
      </w:pPr>
    </w:p>
    <w:p w14:paraId="65291E40" w14:textId="5C23C499" w:rsidR="00B67C19" w:rsidRDefault="00EB4129" w:rsidP="00F558B0">
      <w:pPr>
        <w:rPr>
          <w:rFonts w:ascii="Segoe UI" w:hAnsi="Segoe UI" w:cs="Segoe UI"/>
          <w:sz w:val="24"/>
          <w:szCs w:val="24"/>
        </w:rPr>
      </w:pPr>
      <w:r>
        <w:rPr>
          <w:rFonts w:ascii="Segoe UI" w:hAnsi="Segoe UI" w:cs="Segoe UI"/>
          <w:sz w:val="24"/>
          <w:szCs w:val="24"/>
        </w:rPr>
        <w:t xml:space="preserve">I believe the data is authentic because </w:t>
      </w:r>
      <w:r w:rsidR="00413F4A">
        <w:rPr>
          <w:rFonts w:ascii="Segoe UI" w:hAnsi="Segoe UI" w:cs="Segoe UI"/>
          <w:sz w:val="24"/>
          <w:szCs w:val="24"/>
        </w:rPr>
        <w:t xml:space="preserve">Bureau of Labor Statistics is </w:t>
      </w:r>
      <w:r w:rsidR="00302851">
        <w:rPr>
          <w:rFonts w:ascii="Segoe UI" w:hAnsi="Segoe UI" w:cs="Segoe UI"/>
          <w:sz w:val="24"/>
          <w:szCs w:val="24"/>
        </w:rPr>
        <w:t>a governmental statistical agency that collects and processes statistical data to the American public (Wikipedia).</w:t>
      </w:r>
    </w:p>
    <w:p w14:paraId="6339FE1E" w14:textId="245023CB" w:rsidR="00931593" w:rsidRDefault="00931593" w:rsidP="00F558B0">
      <w:pPr>
        <w:rPr>
          <w:rFonts w:ascii="Segoe UI" w:hAnsi="Segoe UI" w:cs="Segoe UI"/>
          <w:sz w:val="24"/>
          <w:szCs w:val="24"/>
        </w:rPr>
      </w:pPr>
      <w:r>
        <w:rPr>
          <w:rFonts w:ascii="Segoe UI" w:hAnsi="Segoe UI" w:cs="Segoe UI"/>
          <w:sz w:val="32"/>
          <w:szCs w:val="32"/>
        </w:rPr>
        <w:t>What I found in these data:</w:t>
      </w:r>
    </w:p>
    <w:p w14:paraId="3179F372" w14:textId="1C76467A" w:rsidR="00931593" w:rsidRPr="00931593" w:rsidRDefault="00931593" w:rsidP="00F558B0">
      <w:pPr>
        <w:rPr>
          <w:rFonts w:ascii="Segoe UI" w:hAnsi="Segoe UI" w:cs="Segoe UI"/>
          <w:sz w:val="24"/>
          <w:szCs w:val="24"/>
        </w:rPr>
      </w:pPr>
      <w:r>
        <w:rPr>
          <w:rFonts w:ascii="Segoe UI" w:hAnsi="Segoe UI" w:cs="Segoe UI"/>
          <w:sz w:val="24"/>
          <w:szCs w:val="24"/>
        </w:rPr>
        <w:t xml:space="preserve">Despite having the same educational level, women </w:t>
      </w:r>
      <w:r w:rsidR="001D3D49">
        <w:rPr>
          <w:rFonts w:ascii="Segoe UI" w:hAnsi="Segoe UI" w:cs="Segoe UI"/>
          <w:sz w:val="24"/>
          <w:szCs w:val="24"/>
        </w:rPr>
        <w:t>still earn less then men.</w:t>
      </w:r>
    </w:p>
    <w:p w14:paraId="0039872D" w14:textId="3CE930EA" w:rsidR="00931593" w:rsidRDefault="00931593" w:rsidP="00F558B0">
      <w:pPr>
        <w:rPr>
          <w:rFonts w:ascii="Segoe UI" w:hAnsi="Segoe UI" w:cs="Segoe UI"/>
          <w:sz w:val="24"/>
          <w:szCs w:val="24"/>
        </w:rPr>
      </w:pPr>
      <w:r w:rsidRPr="00931593">
        <w:rPr>
          <w:rFonts w:ascii="Segoe UI" w:hAnsi="Segoe UI" w:cs="Segoe UI"/>
          <w:noProof/>
          <w:sz w:val="24"/>
          <w:szCs w:val="24"/>
        </w:rPr>
        <w:drawing>
          <wp:inline distT="0" distB="0" distL="0" distR="0" wp14:anchorId="70151F5D" wp14:editId="0DEE41C6">
            <wp:extent cx="5943600" cy="36004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5FFA23" w14:textId="470BF3C5" w:rsidR="00F00A0C" w:rsidRDefault="00F00A0C" w:rsidP="00F558B0">
      <w:pPr>
        <w:rPr>
          <w:rFonts w:ascii="Segoe UI" w:hAnsi="Segoe UI" w:cs="Segoe UI"/>
          <w:sz w:val="24"/>
          <w:szCs w:val="24"/>
        </w:rPr>
      </w:pPr>
    </w:p>
    <w:p w14:paraId="3093AB5A" w14:textId="6D45200A" w:rsidR="00F00A0C" w:rsidRDefault="00F00A0C" w:rsidP="00F558B0">
      <w:pPr>
        <w:rPr>
          <w:rFonts w:ascii="Segoe UI" w:hAnsi="Segoe UI" w:cs="Segoe UI"/>
          <w:sz w:val="24"/>
          <w:szCs w:val="24"/>
        </w:rPr>
      </w:pPr>
      <w:r>
        <w:rPr>
          <w:rFonts w:ascii="Segoe UI" w:hAnsi="Segoe UI" w:cs="Segoe UI"/>
          <w:sz w:val="24"/>
          <w:szCs w:val="24"/>
        </w:rPr>
        <w:lastRenderedPageBreak/>
        <w:t xml:space="preserve">From 2004-2018, women to men earnings ratio has increased 5%, but the ratio is still at roughly 80%, which means </w:t>
      </w:r>
      <w:r w:rsidR="00CB3F17">
        <w:rPr>
          <w:rFonts w:ascii="Segoe UI" w:hAnsi="Segoe UI" w:cs="Segoe UI"/>
          <w:sz w:val="24"/>
          <w:szCs w:val="24"/>
        </w:rPr>
        <w:t>a woman</w:t>
      </w:r>
      <w:r>
        <w:rPr>
          <w:rFonts w:ascii="Segoe UI" w:hAnsi="Segoe UI" w:cs="Segoe UI"/>
          <w:sz w:val="24"/>
          <w:szCs w:val="24"/>
        </w:rPr>
        <w:t xml:space="preserve"> </w:t>
      </w:r>
      <w:r w:rsidR="00CB3F17">
        <w:rPr>
          <w:rFonts w:ascii="Segoe UI" w:hAnsi="Segoe UI" w:cs="Segoe UI"/>
          <w:sz w:val="24"/>
          <w:szCs w:val="24"/>
        </w:rPr>
        <w:t>would earn about</w:t>
      </w:r>
      <w:r>
        <w:rPr>
          <w:rFonts w:ascii="Segoe UI" w:hAnsi="Segoe UI" w:cs="Segoe UI"/>
          <w:sz w:val="24"/>
          <w:szCs w:val="24"/>
        </w:rPr>
        <w:t xml:space="preserve"> 80% </w:t>
      </w:r>
      <w:r w:rsidR="00CB3F17">
        <w:rPr>
          <w:rFonts w:ascii="Segoe UI" w:hAnsi="Segoe UI" w:cs="Segoe UI"/>
          <w:sz w:val="24"/>
          <w:szCs w:val="24"/>
        </w:rPr>
        <w:t>of the amount a man in the same position would earn</w:t>
      </w:r>
      <w:r>
        <w:rPr>
          <w:rFonts w:ascii="Segoe UI" w:hAnsi="Segoe UI" w:cs="Segoe UI"/>
          <w:sz w:val="24"/>
          <w:szCs w:val="24"/>
        </w:rPr>
        <w:t>.</w:t>
      </w:r>
      <w:r w:rsidR="00CB3F17">
        <w:rPr>
          <w:rFonts w:ascii="Segoe UI" w:hAnsi="Segoe UI" w:cs="Segoe UI"/>
          <w:sz w:val="24"/>
          <w:szCs w:val="24"/>
        </w:rPr>
        <w:t xml:space="preserve"> </w:t>
      </w:r>
    </w:p>
    <w:p w14:paraId="5CF8427B" w14:textId="7538A11C" w:rsidR="00F00A0C" w:rsidRDefault="00F00A0C" w:rsidP="00F558B0">
      <w:pPr>
        <w:rPr>
          <w:rFonts w:ascii="Segoe UI" w:hAnsi="Segoe UI" w:cs="Segoe UI"/>
          <w:sz w:val="24"/>
          <w:szCs w:val="24"/>
        </w:rPr>
      </w:pPr>
      <w:r w:rsidRPr="00F00A0C">
        <w:rPr>
          <w:rFonts w:ascii="Segoe UI" w:hAnsi="Segoe UI" w:cs="Segoe UI"/>
          <w:noProof/>
          <w:sz w:val="24"/>
          <w:szCs w:val="24"/>
        </w:rPr>
        <w:drawing>
          <wp:inline distT="0" distB="0" distL="0" distR="0" wp14:anchorId="5667CA26" wp14:editId="09C164C0">
            <wp:extent cx="5943600" cy="3333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5C6B9" w14:textId="77777777" w:rsidR="00A618ED" w:rsidRDefault="00A618ED" w:rsidP="00F558B0">
      <w:pPr>
        <w:rPr>
          <w:rFonts w:ascii="Segoe UI" w:hAnsi="Segoe UI" w:cs="Segoe UI"/>
          <w:sz w:val="24"/>
          <w:szCs w:val="24"/>
        </w:rPr>
      </w:pPr>
    </w:p>
    <w:p w14:paraId="1ED75080" w14:textId="53700044" w:rsidR="00A618ED" w:rsidRDefault="003E5B00" w:rsidP="00F558B0">
      <w:pPr>
        <w:rPr>
          <w:rFonts w:ascii="Segoe UI" w:hAnsi="Segoe UI" w:cs="Segoe UI"/>
          <w:sz w:val="24"/>
          <w:szCs w:val="24"/>
        </w:rPr>
      </w:pPr>
      <w:r>
        <w:rPr>
          <w:rFonts w:ascii="Segoe UI" w:hAnsi="Segoe UI" w:cs="Segoe UI"/>
          <w:sz w:val="24"/>
          <w:szCs w:val="24"/>
        </w:rPr>
        <w:t>Younger women approach closer to pay equity than older women. One possible reason for this is as men aged, they promote in their career and earn more, while women have less chance to promote.</w:t>
      </w:r>
    </w:p>
    <w:p w14:paraId="1889B093" w14:textId="39DC6A86" w:rsidR="00A618ED" w:rsidRDefault="00A618ED" w:rsidP="00F558B0">
      <w:pPr>
        <w:rPr>
          <w:rFonts w:ascii="Segoe UI" w:hAnsi="Segoe UI" w:cs="Segoe UI"/>
          <w:sz w:val="24"/>
          <w:szCs w:val="24"/>
        </w:rPr>
      </w:pPr>
      <w:r>
        <w:rPr>
          <w:noProof/>
        </w:rPr>
        <w:drawing>
          <wp:inline distT="0" distB="0" distL="0" distR="0" wp14:anchorId="18963ACA" wp14:editId="540742CB">
            <wp:extent cx="5943600" cy="2908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57EF67AD" w14:textId="616D7CC6" w:rsidR="00A618ED" w:rsidRDefault="00A618ED" w:rsidP="00F558B0">
      <w:pPr>
        <w:rPr>
          <w:rFonts w:ascii="Segoe UI" w:hAnsi="Segoe UI" w:cs="Segoe UI"/>
          <w:sz w:val="24"/>
          <w:szCs w:val="24"/>
        </w:rPr>
      </w:pPr>
      <w:r>
        <w:rPr>
          <w:rFonts w:ascii="Segoe UI" w:hAnsi="Segoe UI" w:cs="Segoe UI"/>
          <w:sz w:val="24"/>
          <w:szCs w:val="24"/>
        </w:rPr>
        <w:lastRenderedPageBreak/>
        <w:t xml:space="preserve">Source: </w:t>
      </w:r>
      <w:hyperlink r:id="rId16" w:anchor="/media/File:US_womens_earnings_as_a_percentage_of_mens_1979-2005.svg" w:history="1">
        <w:r w:rsidR="009C5C55" w:rsidRPr="009753C7">
          <w:rPr>
            <w:rStyle w:val="Hyperlink"/>
            <w:rFonts w:ascii="Segoe UI" w:hAnsi="Segoe UI" w:cs="Segoe UI"/>
            <w:sz w:val="24"/>
            <w:szCs w:val="24"/>
          </w:rPr>
          <w:t>https://en.wikipedia.org/wiki/Gender_pay_gap_in_the_United_States#/media/File:US_womens_earnings_as_a_percentage_of_mens_1979-2005.svg</w:t>
        </w:r>
      </w:hyperlink>
    </w:p>
    <w:p w14:paraId="4058A5C6" w14:textId="294641C1" w:rsidR="009C5C55" w:rsidRDefault="009C5C55" w:rsidP="00F558B0">
      <w:pPr>
        <w:rPr>
          <w:rFonts w:ascii="Segoe UI" w:hAnsi="Segoe UI" w:cs="Segoe UI"/>
          <w:sz w:val="24"/>
          <w:szCs w:val="24"/>
        </w:rPr>
      </w:pPr>
    </w:p>
    <w:p w14:paraId="07554446" w14:textId="0EF2B17B" w:rsidR="009C5C55" w:rsidRDefault="00D34D7B" w:rsidP="00F558B0">
      <w:pPr>
        <w:rPr>
          <w:rFonts w:ascii="Segoe UI" w:hAnsi="Segoe UI" w:cs="Segoe UI"/>
          <w:sz w:val="24"/>
          <w:szCs w:val="24"/>
        </w:rPr>
      </w:pPr>
      <w:r>
        <w:rPr>
          <w:rFonts w:ascii="Segoe UI" w:hAnsi="Segoe UI" w:cs="Segoe UI"/>
          <w:sz w:val="24"/>
          <w:szCs w:val="24"/>
        </w:rPr>
        <w:t xml:space="preserve">Base on the following graph and this website: </w:t>
      </w:r>
      <w:hyperlink r:id="rId17" w:history="1">
        <w:r w:rsidRPr="009753C7">
          <w:rPr>
            <w:rStyle w:val="Hyperlink"/>
            <w:rFonts w:ascii="Segoe UI" w:hAnsi="Segoe UI" w:cs="Segoe UI"/>
            <w:sz w:val="24"/>
            <w:szCs w:val="24"/>
          </w:rPr>
          <w:t>https://www.bls.gov/cps/cpsaat11.htm</w:t>
        </w:r>
      </w:hyperlink>
      <w:r>
        <w:rPr>
          <w:rFonts w:ascii="Segoe UI" w:hAnsi="Segoe UI" w:cs="Segoe UI"/>
          <w:sz w:val="24"/>
          <w:szCs w:val="24"/>
        </w:rPr>
        <w:t>, we can see that</w:t>
      </w:r>
      <w:r w:rsidR="00CF2954">
        <w:rPr>
          <w:rFonts w:ascii="Segoe UI" w:hAnsi="Segoe UI" w:cs="Segoe UI"/>
          <w:sz w:val="24"/>
          <w:szCs w:val="24"/>
        </w:rPr>
        <w:t xml:space="preserve"> no matter if there are more women or men in an industry, men </w:t>
      </w:r>
      <w:r w:rsidR="00F26D2B">
        <w:rPr>
          <w:rFonts w:ascii="Segoe UI" w:hAnsi="Segoe UI" w:cs="Segoe UI"/>
          <w:sz w:val="24"/>
          <w:szCs w:val="24"/>
        </w:rPr>
        <w:t>would earn more than women d</w:t>
      </w:r>
      <w:r w:rsidR="008C715B">
        <w:rPr>
          <w:rFonts w:ascii="Segoe UI" w:hAnsi="Segoe UI" w:cs="Segoe UI"/>
          <w:sz w:val="24"/>
          <w:szCs w:val="24"/>
        </w:rPr>
        <w:t xml:space="preserve">o </w:t>
      </w:r>
      <w:r w:rsidR="005076C6">
        <w:rPr>
          <w:rFonts w:ascii="Segoe UI" w:hAnsi="Segoe UI" w:cs="Segoe UI"/>
          <w:sz w:val="24"/>
          <w:szCs w:val="24"/>
        </w:rPr>
        <w:t>at</w:t>
      </w:r>
      <w:r w:rsidR="008C715B">
        <w:rPr>
          <w:rFonts w:ascii="Segoe UI" w:hAnsi="Segoe UI" w:cs="Segoe UI"/>
          <w:sz w:val="24"/>
          <w:szCs w:val="24"/>
        </w:rPr>
        <w:t xml:space="preserve"> most industry.</w:t>
      </w:r>
    </w:p>
    <w:p w14:paraId="28B1F97E" w14:textId="482A330D" w:rsidR="009C5C55" w:rsidRDefault="009C5C55" w:rsidP="00F558B0">
      <w:pPr>
        <w:rPr>
          <w:rFonts w:ascii="Segoe UI" w:hAnsi="Segoe UI" w:cs="Segoe UI"/>
          <w:sz w:val="24"/>
          <w:szCs w:val="24"/>
        </w:rPr>
      </w:pPr>
      <w:r w:rsidRPr="009C5C55">
        <w:rPr>
          <w:rFonts w:ascii="Segoe UI" w:hAnsi="Segoe UI" w:cs="Segoe UI"/>
          <w:noProof/>
          <w:sz w:val="24"/>
          <w:szCs w:val="24"/>
        </w:rPr>
        <w:drawing>
          <wp:inline distT="0" distB="0" distL="0" distR="0" wp14:anchorId="087562DD" wp14:editId="760EF09A">
            <wp:extent cx="5943600" cy="52197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94246E" w14:textId="3F56B561" w:rsidR="009C5C55" w:rsidRDefault="009C5C55" w:rsidP="00F558B0">
      <w:pPr>
        <w:rPr>
          <w:rFonts w:ascii="Segoe UI" w:hAnsi="Segoe UI" w:cs="Segoe UI"/>
          <w:sz w:val="24"/>
          <w:szCs w:val="24"/>
        </w:rPr>
      </w:pPr>
    </w:p>
    <w:p w14:paraId="7C790D85" w14:textId="21725E0F" w:rsidR="006F0D74" w:rsidRDefault="006F0D74" w:rsidP="00F558B0">
      <w:pPr>
        <w:rPr>
          <w:rFonts w:ascii="Segoe UI" w:hAnsi="Segoe UI" w:cs="Segoe UI"/>
          <w:sz w:val="24"/>
          <w:szCs w:val="24"/>
        </w:rPr>
      </w:pPr>
      <w:r>
        <w:rPr>
          <w:rFonts w:ascii="Segoe UI" w:hAnsi="Segoe UI" w:cs="Segoe UI"/>
          <w:sz w:val="24"/>
          <w:szCs w:val="24"/>
        </w:rPr>
        <w:t>The graphs below are gender wage gap for the most common occupations for women and for men, in order, in the U.S. in 2017, by median weekly earnings (in U.S. dollars). We can see that men still earn more than women in both case</w:t>
      </w:r>
      <w:r w:rsidR="007C5DCC">
        <w:rPr>
          <w:rFonts w:ascii="Segoe UI" w:hAnsi="Segoe UI" w:cs="Segoe UI"/>
          <w:sz w:val="24"/>
          <w:szCs w:val="24"/>
        </w:rPr>
        <w:t>s</w:t>
      </w:r>
      <w:r>
        <w:rPr>
          <w:rFonts w:ascii="Segoe UI" w:hAnsi="Segoe UI" w:cs="Segoe UI"/>
          <w:sz w:val="24"/>
          <w:szCs w:val="24"/>
        </w:rPr>
        <w:t>.</w:t>
      </w:r>
    </w:p>
    <w:p w14:paraId="78FCEEA5" w14:textId="6167CB64" w:rsidR="006F0D74" w:rsidRDefault="006F0D74" w:rsidP="00F558B0">
      <w:pPr>
        <w:rPr>
          <w:rFonts w:ascii="Segoe UI" w:hAnsi="Segoe UI" w:cs="Segoe UI"/>
          <w:sz w:val="24"/>
          <w:szCs w:val="24"/>
        </w:rPr>
      </w:pPr>
      <w:r w:rsidRPr="006F0D74">
        <w:rPr>
          <w:rFonts w:ascii="Segoe UI" w:hAnsi="Segoe UI" w:cs="Segoe UI"/>
          <w:noProof/>
          <w:sz w:val="24"/>
          <w:szCs w:val="24"/>
        </w:rPr>
        <w:lastRenderedPageBreak/>
        <w:drawing>
          <wp:inline distT="0" distB="0" distL="0" distR="0" wp14:anchorId="42F215CF" wp14:editId="3FBA03A6">
            <wp:extent cx="5943600" cy="63817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F2A174" w14:textId="6F1615A0" w:rsidR="006F0D74" w:rsidRDefault="006F0D74" w:rsidP="00F558B0">
      <w:pPr>
        <w:rPr>
          <w:rFonts w:ascii="Segoe UI" w:hAnsi="Segoe UI" w:cs="Segoe UI"/>
          <w:sz w:val="24"/>
          <w:szCs w:val="24"/>
        </w:rPr>
      </w:pPr>
      <w:r w:rsidRPr="006F0D74">
        <w:rPr>
          <w:rFonts w:ascii="Segoe UI" w:hAnsi="Segoe UI" w:cs="Segoe UI"/>
          <w:noProof/>
          <w:sz w:val="24"/>
          <w:szCs w:val="24"/>
        </w:rPr>
        <w:lastRenderedPageBreak/>
        <w:drawing>
          <wp:inline distT="0" distB="0" distL="0" distR="0" wp14:anchorId="7C308070" wp14:editId="7E5DC9DD">
            <wp:extent cx="5943600" cy="58102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487C28" w14:textId="20CFED10" w:rsidR="009B0D2B" w:rsidRDefault="009B0D2B" w:rsidP="00F558B0">
      <w:pPr>
        <w:rPr>
          <w:rFonts w:ascii="Segoe UI" w:hAnsi="Segoe UI" w:cs="Segoe UI"/>
          <w:sz w:val="24"/>
          <w:szCs w:val="24"/>
        </w:rPr>
      </w:pPr>
    </w:p>
    <w:p w14:paraId="63C6532E" w14:textId="4A9F0358" w:rsidR="009B0D2B" w:rsidRPr="00EB4129" w:rsidRDefault="009B0D2B" w:rsidP="00F558B0">
      <w:pPr>
        <w:rPr>
          <w:rFonts w:ascii="Segoe UI" w:hAnsi="Segoe UI" w:cs="Segoe UI"/>
          <w:sz w:val="24"/>
          <w:szCs w:val="24"/>
        </w:rPr>
      </w:pPr>
      <w:r>
        <w:rPr>
          <w:rFonts w:ascii="Segoe UI" w:hAnsi="Segoe UI" w:cs="Segoe UI"/>
          <w:sz w:val="24"/>
          <w:szCs w:val="24"/>
        </w:rPr>
        <w:t>In summary,</w:t>
      </w:r>
      <w:r w:rsidR="00872922">
        <w:rPr>
          <w:rFonts w:ascii="Segoe UI" w:hAnsi="Segoe UI" w:cs="Segoe UI"/>
          <w:sz w:val="24"/>
          <w:szCs w:val="24"/>
        </w:rPr>
        <w:t xml:space="preserve"> the data states that</w:t>
      </w:r>
      <w:r>
        <w:rPr>
          <w:rFonts w:ascii="Segoe UI" w:hAnsi="Segoe UI" w:cs="Segoe UI"/>
          <w:sz w:val="24"/>
          <w:szCs w:val="24"/>
        </w:rPr>
        <w:t xml:space="preserve"> women </w:t>
      </w:r>
      <w:r w:rsidR="00B623BA">
        <w:rPr>
          <w:rFonts w:ascii="Segoe UI" w:hAnsi="Segoe UI" w:cs="Segoe UI"/>
          <w:sz w:val="24"/>
          <w:szCs w:val="24"/>
        </w:rPr>
        <w:t>are</w:t>
      </w:r>
      <w:r>
        <w:rPr>
          <w:rFonts w:ascii="Segoe UI" w:hAnsi="Segoe UI" w:cs="Segoe UI"/>
          <w:sz w:val="24"/>
          <w:szCs w:val="24"/>
        </w:rPr>
        <w:t xml:space="preserve"> still lacking behind men in terms of earning and salary</w:t>
      </w:r>
      <w:r w:rsidR="001B0AEA">
        <w:rPr>
          <w:rFonts w:ascii="Segoe UI" w:hAnsi="Segoe UI" w:cs="Segoe UI"/>
          <w:sz w:val="24"/>
          <w:szCs w:val="24"/>
        </w:rPr>
        <w:t>, hence support my cause.</w:t>
      </w:r>
      <w:bookmarkStart w:id="0" w:name="_GoBack"/>
      <w:bookmarkEnd w:id="0"/>
    </w:p>
    <w:sectPr w:rsidR="009B0D2B" w:rsidRPr="00EB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9D8"/>
    <w:multiLevelType w:val="hybridMultilevel"/>
    <w:tmpl w:val="C2D2A8C2"/>
    <w:lvl w:ilvl="0" w:tplc="8D86F02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3A"/>
    <w:rsid w:val="00030BB8"/>
    <w:rsid w:val="000346AA"/>
    <w:rsid w:val="001558FE"/>
    <w:rsid w:val="001B0AEA"/>
    <w:rsid w:val="001D3D49"/>
    <w:rsid w:val="002E0F11"/>
    <w:rsid w:val="00302851"/>
    <w:rsid w:val="00361E98"/>
    <w:rsid w:val="003E5B00"/>
    <w:rsid w:val="00413F4A"/>
    <w:rsid w:val="004A3FB9"/>
    <w:rsid w:val="005076C6"/>
    <w:rsid w:val="005477C6"/>
    <w:rsid w:val="006F0D74"/>
    <w:rsid w:val="007C5DCC"/>
    <w:rsid w:val="00872922"/>
    <w:rsid w:val="008C715B"/>
    <w:rsid w:val="00931593"/>
    <w:rsid w:val="009931FA"/>
    <w:rsid w:val="009B0D2B"/>
    <w:rsid w:val="009C5C55"/>
    <w:rsid w:val="009D183A"/>
    <w:rsid w:val="00A429FF"/>
    <w:rsid w:val="00A618ED"/>
    <w:rsid w:val="00AA2962"/>
    <w:rsid w:val="00AD641C"/>
    <w:rsid w:val="00AE4EDE"/>
    <w:rsid w:val="00B623BA"/>
    <w:rsid w:val="00B67C19"/>
    <w:rsid w:val="00BC0F26"/>
    <w:rsid w:val="00CB3F17"/>
    <w:rsid w:val="00CF2954"/>
    <w:rsid w:val="00D34D7B"/>
    <w:rsid w:val="00D82328"/>
    <w:rsid w:val="00E506EF"/>
    <w:rsid w:val="00E935EB"/>
    <w:rsid w:val="00EB4129"/>
    <w:rsid w:val="00F00A0C"/>
    <w:rsid w:val="00F26D2B"/>
    <w:rsid w:val="00F558B0"/>
    <w:rsid w:val="00F9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707D"/>
  <w15:chartTrackingRefBased/>
  <w15:docId w15:val="{0B351424-3115-4DD2-A2A7-A7F06213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9FF"/>
    <w:pPr>
      <w:ind w:left="720"/>
      <w:contextualSpacing/>
    </w:pPr>
  </w:style>
  <w:style w:type="character" w:styleId="Hyperlink">
    <w:name w:val="Hyperlink"/>
    <w:basedOn w:val="DefaultParagraphFont"/>
    <w:uiPriority w:val="99"/>
    <w:unhideWhenUsed/>
    <w:rsid w:val="00A429FF"/>
    <w:rPr>
      <w:color w:val="0563C1" w:themeColor="hyperlink"/>
      <w:u w:val="single"/>
    </w:rPr>
  </w:style>
  <w:style w:type="character" w:styleId="UnresolvedMention">
    <w:name w:val="Unresolved Mention"/>
    <w:basedOn w:val="DefaultParagraphFont"/>
    <w:uiPriority w:val="99"/>
    <w:semiHidden/>
    <w:unhideWhenUsed/>
    <w:rsid w:val="00A429FF"/>
    <w:rPr>
      <w:color w:val="605E5C"/>
      <w:shd w:val="clear" w:color="auto" w:fill="E1DFDD"/>
    </w:rPr>
  </w:style>
  <w:style w:type="character" w:customStyle="1" w:styleId="italic">
    <w:name w:val="italic"/>
    <w:basedOn w:val="DefaultParagraphFont"/>
    <w:rsid w:val="00A42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44383/female-to-male-earnings-ratio-of-workers-in-the-us-by-age/" TargetMode="External"/><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ls.gov/news.release/wkyeng.t01.htm" TargetMode="External"/><Relationship Id="rId12" Type="http://schemas.openxmlformats.org/officeDocument/2006/relationships/hyperlink" Target="https://www.bls.gov/news.release/wkyeng.t04.htm" TargetMode="External"/><Relationship Id="rId17" Type="http://schemas.openxmlformats.org/officeDocument/2006/relationships/hyperlink" Target="https://www.bls.gov/cps/cpsaat11.htm" TargetMode="External"/><Relationship Id="rId2" Type="http://schemas.openxmlformats.org/officeDocument/2006/relationships/styles" Target="styles.xml"/><Relationship Id="rId16" Type="http://schemas.openxmlformats.org/officeDocument/2006/relationships/hyperlink" Target="https://en.wikipedia.org/wiki/Gender_pay_gap_in_the_United_States" TargetMode="Externa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hyperlink" Target="https://www.statista.com/statistics/203459/female-to-male-earnings-ratio-of-workers-in-the-us/" TargetMode="External"/><Relationship Id="rId11" Type="http://schemas.openxmlformats.org/officeDocument/2006/relationships/hyperlink" Target="https://www.statista.com/statistics/244192/us-gender-wage-gap-for-the-20-most-common-occupations-for-men/" TargetMode="External"/><Relationship Id="rId5" Type="http://schemas.openxmlformats.org/officeDocument/2006/relationships/hyperlink" Target="https://www.statista.com/statistics/185332/median-weekly-earnings-of-full-time-wage-and-salary-workers-by-educational-attainment/" TargetMode="External"/><Relationship Id="rId15" Type="http://schemas.openxmlformats.org/officeDocument/2006/relationships/image" Target="media/image1.png"/><Relationship Id="rId10" Type="http://schemas.openxmlformats.org/officeDocument/2006/relationships/hyperlink" Target="https://www.statista.com/statistics/244096/us-gender-wage-gap-for-the-20-most-common-occupations-for-women/" TargetMode="External"/><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statista.com/statistics/244202/us-gender-wage-gap-by-industry/" TargetMode="Externa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Men</c:v>
                </c:pt>
              </c:strCache>
            </c:strRef>
          </c:tx>
          <c:spPr>
            <a:solidFill>
              <a:srgbClr val="2875DD"/>
            </a:solidFill>
            <a:ln>
              <a:solidFill>
                <a:srgbClr val="2875DD"/>
              </a:solidFill>
            </a:ln>
          </c:spPr>
          <c:invertIfNegative val="0"/>
          <c:dLbls>
            <c:dLbl>
              <c:idx val="0"/>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0-C811-4568-9D4D-7DB0687AF366}"/>
                </c:ext>
              </c:extLst>
            </c:dLbl>
            <c:dLbl>
              <c:idx val="1"/>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1-C811-4568-9D4D-7DB0687AF366}"/>
                </c:ext>
              </c:extLst>
            </c:dLbl>
            <c:dLbl>
              <c:idx val="2"/>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2-C811-4568-9D4D-7DB0687AF366}"/>
                </c:ext>
              </c:extLst>
            </c:dLbl>
            <c:dLbl>
              <c:idx val="3"/>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3-C811-4568-9D4D-7DB0687AF366}"/>
                </c:ext>
              </c:extLst>
            </c:dLbl>
            <c:dLbl>
              <c:idx val="4"/>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4-C811-4568-9D4D-7DB0687AF366}"/>
                </c:ext>
              </c:extLst>
            </c:dLbl>
            <c:dLbl>
              <c:idx val="5"/>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5-C811-4568-9D4D-7DB0687AF366}"/>
                </c:ext>
              </c:extLst>
            </c:dLbl>
            <c:spPr>
              <a:noFill/>
              <a:ln>
                <a:noFill/>
              </a:ln>
              <a:effectLst/>
            </c:spPr>
            <c:txPr>
              <a:bodyPr/>
              <a:lstStyle/>
              <a:p>
                <a:pPr>
                  <a:defRPr sz="9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Total</c:v>
                </c:pt>
                <c:pt idx="1">
                  <c:v>Less than a high school diploma</c:v>
                </c:pt>
                <c:pt idx="2">
                  <c:v>High school, no college</c:v>
                </c:pt>
                <c:pt idx="3">
                  <c:v>Some college or associate's degree</c:v>
                </c:pt>
                <c:pt idx="4">
                  <c:v>Bachelor's degree</c:v>
                </c:pt>
                <c:pt idx="5">
                  <c:v>Advanced degree</c:v>
                </c:pt>
              </c:strCache>
            </c:strRef>
          </c:cat>
          <c:val>
            <c:numRef>
              <c:f>Sheet1!$B$2:$B$7</c:f>
              <c:numCache>
                <c:formatCode>General</c:formatCode>
                <c:ptCount val="6"/>
                <c:pt idx="0">
                  <c:v>1026</c:v>
                </c:pt>
                <c:pt idx="1">
                  <c:v>607</c:v>
                </c:pt>
                <c:pt idx="2">
                  <c:v>819</c:v>
                </c:pt>
                <c:pt idx="3">
                  <c:v>951</c:v>
                </c:pt>
                <c:pt idx="4">
                  <c:v>1384</c:v>
                </c:pt>
                <c:pt idx="5">
                  <c:v>1774</c:v>
                </c:pt>
              </c:numCache>
            </c:numRef>
          </c:val>
          <c:extLst>
            <c:ext xmlns:c16="http://schemas.microsoft.com/office/drawing/2014/chart" uri="{C3380CC4-5D6E-409C-BE32-E72D297353CC}">
              <c16:uniqueId val="{00000006-C811-4568-9D4D-7DB0687AF366}"/>
            </c:ext>
          </c:extLst>
        </c:ser>
        <c:ser>
          <c:idx val="1"/>
          <c:order val="1"/>
          <c:tx>
            <c:strRef>
              <c:f>Sheet1!$C$1</c:f>
              <c:strCache>
                <c:ptCount val="1"/>
                <c:pt idx="0">
                  <c:v>Women</c:v>
                </c:pt>
              </c:strCache>
            </c:strRef>
          </c:tx>
          <c:spPr>
            <a:solidFill>
              <a:srgbClr val="0F283E"/>
            </a:solidFill>
            <a:ln>
              <a:solidFill>
                <a:srgbClr val="0F283E"/>
              </a:solidFill>
            </a:ln>
          </c:spPr>
          <c:invertIfNegative val="0"/>
          <c:dLbls>
            <c:dLbl>
              <c:idx val="0"/>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7-C811-4568-9D4D-7DB0687AF366}"/>
                </c:ext>
              </c:extLst>
            </c:dLbl>
            <c:dLbl>
              <c:idx val="1"/>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8-C811-4568-9D4D-7DB0687AF366}"/>
                </c:ext>
              </c:extLst>
            </c:dLbl>
            <c:dLbl>
              <c:idx val="2"/>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9-C811-4568-9D4D-7DB0687AF366}"/>
                </c:ext>
              </c:extLst>
            </c:dLbl>
            <c:dLbl>
              <c:idx val="3"/>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A-C811-4568-9D4D-7DB0687AF366}"/>
                </c:ext>
              </c:extLst>
            </c:dLbl>
            <c:dLbl>
              <c:idx val="4"/>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B-C811-4568-9D4D-7DB0687AF366}"/>
                </c:ext>
              </c:extLst>
            </c:dLbl>
            <c:dLbl>
              <c:idx val="5"/>
              <c:numFmt formatCode="#,##0" sourceLinked="0"/>
              <c:spPr/>
              <c:txPr>
                <a:bodyPr/>
                <a:lstStyle/>
                <a:p>
                  <a:pPr>
                    <a:defRPr sz="10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C-C811-4568-9D4D-7DB0687AF366}"/>
                </c:ext>
              </c:extLst>
            </c:dLbl>
            <c:spPr>
              <a:noFill/>
              <a:ln>
                <a:noFill/>
              </a:ln>
              <a:effectLst/>
            </c:spPr>
            <c:txPr>
              <a:bodyPr/>
              <a:lstStyle/>
              <a:p>
                <a:pPr>
                  <a:defRPr sz="9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Total</c:v>
                </c:pt>
                <c:pt idx="1">
                  <c:v>Less than a high school diploma</c:v>
                </c:pt>
                <c:pt idx="2">
                  <c:v>High school, no college</c:v>
                </c:pt>
                <c:pt idx="3">
                  <c:v>Some college or associate's degree</c:v>
                </c:pt>
                <c:pt idx="4">
                  <c:v>Bachelor's degree</c:v>
                </c:pt>
                <c:pt idx="5">
                  <c:v>Advanced degree</c:v>
                </c:pt>
              </c:strCache>
            </c:strRef>
          </c:cat>
          <c:val>
            <c:numRef>
              <c:f>Sheet1!$C$2:$C$7</c:f>
              <c:numCache>
                <c:formatCode>General</c:formatCode>
                <c:ptCount val="6"/>
                <c:pt idx="0">
                  <c:v>830</c:v>
                </c:pt>
                <c:pt idx="1">
                  <c:v>469</c:v>
                </c:pt>
                <c:pt idx="2">
                  <c:v>616</c:v>
                </c:pt>
                <c:pt idx="3">
                  <c:v>717</c:v>
                </c:pt>
                <c:pt idx="4">
                  <c:v>1041</c:v>
                </c:pt>
                <c:pt idx="5">
                  <c:v>1323</c:v>
                </c:pt>
              </c:numCache>
            </c:numRef>
          </c:val>
          <c:extLst>
            <c:ext xmlns:c16="http://schemas.microsoft.com/office/drawing/2014/chart" uri="{C3380CC4-5D6E-409C-BE32-E72D297353CC}">
              <c16:uniqueId val="{0000000D-C811-4568-9D4D-7DB0687AF366}"/>
            </c:ext>
          </c:extLst>
        </c:ser>
        <c:dLbls>
          <c:showLegendKey val="0"/>
          <c:showVal val="0"/>
          <c:showCatName val="0"/>
          <c:showSerName val="0"/>
          <c:showPercent val="0"/>
          <c:showBubbleSize val="0"/>
        </c:dLbls>
        <c:gapWidth val="80"/>
        <c:overlap val="-30"/>
        <c:axId val="67451136"/>
        <c:axId val="66437120"/>
      </c:barChart>
      <c:catAx>
        <c:axId val="67451136"/>
        <c:scaling>
          <c:orientation val="minMax"/>
        </c:scaling>
        <c:delete val="0"/>
        <c:axPos val="b"/>
        <c:numFmt formatCode="General" sourceLinked="1"/>
        <c:majorTickMark val="none"/>
        <c:minorTickMark val="none"/>
        <c:tickLblPos val="low"/>
        <c:spPr>
          <a:ln w="25400">
            <a:solidFill>
              <a:srgbClr val="2F2F2F"/>
            </a:solidFill>
          </a:ln>
        </c:spPr>
        <c:txPr>
          <a:bodyPr/>
          <a:lstStyle/>
          <a:p>
            <a:pPr>
              <a:defRPr sz="900" b="0" smtId="4294967295">
                <a:solidFill>
                  <a:srgbClr val="0F283E"/>
                </a:solidFill>
                <a:latin typeface="Arial" pitchFamily="34" charset="0"/>
              </a:defRPr>
            </a:pPr>
            <a:endParaRPr lang="en-US"/>
          </a:p>
        </c:txPr>
        <c:crossAx val="66437120"/>
        <c:crosses val="autoZero"/>
        <c:auto val="0"/>
        <c:lblAlgn val="ctr"/>
        <c:lblOffset val="100"/>
        <c:noMultiLvlLbl val="0"/>
      </c:catAx>
      <c:valAx>
        <c:axId val="66437120"/>
        <c:scaling>
          <c:orientation val="minMax"/>
          <c:min val="0"/>
        </c:scaling>
        <c:delete val="0"/>
        <c:axPos val="l"/>
        <c:majorGridlines>
          <c:spPr>
            <a:ln>
              <a:solidFill>
                <a:srgbClr val="2F2F2F"/>
              </a:solidFill>
              <a:prstDash val="dot"/>
            </a:ln>
          </c:spPr>
        </c:majorGridlines>
        <c:title>
          <c:tx>
            <c:rich>
              <a:bodyPr/>
              <a:lstStyle/>
              <a:p>
                <a:pPr>
                  <a:defRPr/>
                </a:pPr>
                <a:r>
                  <a:rPr lang="en-US" sz="900" b="0">
                    <a:solidFill>
                      <a:srgbClr val="0F283E"/>
                    </a:solidFill>
                    <a:latin typeface="Arial" pitchFamily="34" charset="0"/>
                  </a:rPr>
                  <a:t>Wage in current U.S. dollars</a:t>
                </a:r>
              </a:p>
            </c:rich>
          </c:tx>
          <c:overlay val="0"/>
        </c:title>
        <c:numFmt formatCode="General" sourceLinked="1"/>
        <c:majorTickMark val="none"/>
        <c:minorTickMark val="none"/>
        <c:tickLblPos val="low"/>
        <c:spPr>
          <a:ln>
            <a:noFill/>
          </a:ln>
        </c:spPr>
        <c:txPr>
          <a:bodyPr/>
          <a:lstStyle/>
          <a:p>
            <a:pPr>
              <a:defRPr sz="900" b="0" smtId="4294967295">
                <a:solidFill>
                  <a:srgbClr val="0F283E"/>
                </a:solidFill>
                <a:latin typeface="Arial" pitchFamily="34" charset="0"/>
              </a:defRPr>
            </a:pPr>
            <a:endParaRPr lang="en-US"/>
          </a:p>
        </c:txPr>
        <c:crossAx val="67451136"/>
        <c:crosses val="autoZero"/>
        <c:crossBetween val="between"/>
      </c:valAx>
    </c:plotArea>
    <c:legend>
      <c:legendPos val="t"/>
      <c:overlay val="0"/>
      <c:txPr>
        <a:bodyPr/>
        <a:lstStyle/>
        <a:p>
          <a:pPr>
            <a:defRPr sz="900" smtId="4294967295">
              <a:solidFill>
                <a:srgbClr val="0F283E"/>
              </a:solidFill>
              <a:latin typeface="Arial" pitchFamily="34" charset="0"/>
            </a:defRPr>
          </a:pPr>
          <a:endParaRPr lang="en-US"/>
        </a:p>
      </c:txPr>
    </c:legend>
    <c:plotVisOnly val="1"/>
    <c:dispBlanksAs val="zero"/>
    <c:showDLblsOverMax val="1"/>
  </c:chart>
  <c:txPr>
    <a:bodyPr/>
    <a:lstStyle/>
    <a:p>
      <a:pPr>
        <a:defRPr sz="1800" smtId="4294967295"/>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data</c:v>
                </c:pt>
              </c:strCache>
            </c:strRef>
          </c:tx>
          <c:spPr>
            <a:solidFill>
              <a:srgbClr val="2875DD"/>
            </a:solidFill>
            <a:ln>
              <a:solidFill>
                <a:srgbClr val="2875DD"/>
              </a:solidFill>
            </a:ln>
          </c:spPr>
          <c:invertIfNegative val="0"/>
          <c:dLbls>
            <c:dLbl>
              <c:idx val="0"/>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0-8FE6-4435-A2E7-793D91B085C6}"/>
                </c:ext>
              </c:extLst>
            </c:dLbl>
            <c:dLbl>
              <c:idx val="1"/>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1-8FE6-4435-A2E7-793D91B085C6}"/>
                </c:ext>
              </c:extLst>
            </c:dLbl>
            <c:dLbl>
              <c:idx val="2"/>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2-8FE6-4435-A2E7-793D91B085C6}"/>
                </c:ext>
              </c:extLst>
            </c:dLbl>
            <c:dLbl>
              <c:idx val="3"/>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3-8FE6-4435-A2E7-793D91B085C6}"/>
                </c:ext>
              </c:extLst>
            </c:dLbl>
            <c:dLbl>
              <c:idx val="4"/>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4-8FE6-4435-A2E7-793D91B085C6}"/>
                </c:ext>
              </c:extLst>
            </c:dLbl>
            <c:dLbl>
              <c:idx val="5"/>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5-8FE6-4435-A2E7-793D91B085C6}"/>
                </c:ext>
              </c:extLst>
            </c:dLbl>
            <c:dLbl>
              <c:idx val="6"/>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6-8FE6-4435-A2E7-793D91B085C6}"/>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7-8FE6-4435-A2E7-793D91B085C6}"/>
                </c:ext>
              </c:extLst>
            </c:dLbl>
            <c:dLbl>
              <c:idx val="8"/>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8-8FE6-4435-A2E7-793D91B085C6}"/>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9-8FE6-4435-A2E7-793D91B085C6}"/>
                </c:ext>
              </c:extLst>
            </c:dLbl>
            <c:dLbl>
              <c:idx val="10"/>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A-8FE6-4435-A2E7-793D91B085C6}"/>
                </c:ext>
              </c:extLst>
            </c:dLbl>
            <c:dLbl>
              <c:idx val="11"/>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B-8FE6-4435-A2E7-793D91B085C6}"/>
                </c:ext>
              </c:extLst>
            </c:dLbl>
            <c:dLbl>
              <c:idx val="12"/>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C-8FE6-4435-A2E7-793D91B085C6}"/>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D-8FE6-4435-A2E7-793D91B085C6}"/>
                </c:ext>
              </c:extLst>
            </c:dLbl>
            <c:dLbl>
              <c:idx val="14"/>
              <c:numFmt formatCode="#,##0.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E-8FE6-4435-A2E7-793D91B085C6}"/>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Sheet1!$A$2:$A$16</c:f>
              <c:numCache>
                <c:formatCode>General</c:formatCode>
                <c:ptCount val="15"/>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pt idx="13">
                  <c:v>2005</c:v>
                </c:pt>
                <c:pt idx="14">
                  <c:v>2004</c:v>
                </c:pt>
              </c:numCache>
            </c:numRef>
          </c:cat>
          <c:val>
            <c:numRef>
              <c:f>Sheet1!$B$2:$B$16</c:f>
              <c:numCache>
                <c:formatCode>General</c:formatCode>
                <c:ptCount val="15"/>
                <c:pt idx="0">
                  <c:v>0.81599999999999995</c:v>
                </c:pt>
                <c:pt idx="1">
                  <c:v>0.81699999999999995</c:v>
                </c:pt>
                <c:pt idx="2">
                  <c:v>0.80500000000000005</c:v>
                </c:pt>
                <c:pt idx="3">
                  <c:v>0.79600000000000004</c:v>
                </c:pt>
                <c:pt idx="4">
                  <c:v>0.78600000000000003</c:v>
                </c:pt>
                <c:pt idx="5">
                  <c:v>0.78300000000000003</c:v>
                </c:pt>
                <c:pt idx="6">
                  <c:v>0.76500000000000001</c:v>
                </c:pt>
                <c:pt idx="7">
                  <c:v>0.77</c:v>
                </c:pt>
                <c:pt idx="8">
                  <c:v>0.76900000000000002</c:v>
                </c:pt>
                <c:pt idx="9">
                  <c:v>0.77</c:v>
                </c:pt>
                <c:pt idx="10">
                  <c:v>0.77100000000000002</c:v>
                </c:pt>
                <c:pt idx="11">
                  <c:v>0.77800000000000002</c:v>
                </c:pt>
                <c:pt idx="12">
                  <c:v>0.76900000000000002</c:v>
                </c:pt>
                <c:pt idx="13">
                  <c:v>0.77</c:v>
                </c:pt>
                <c:pt idx="14">
                  <c:v>0.76600000000000001</c:v>
                </c:pt>
              </c:numCache>
            </c:numRef>
          </c:val>
          <c:extLst>
            <c:ext xmlns:c16="http://schemas.microsoft.com/office/drawing/2014/chart" uri="{C3380CC4-5D6E-409C-BE32-E72D297353CC}">
              <c16:uniqueId val="{0000000F-8FE6-4435-A2E7-793D91B085C6}"/>
            </c:ext>
          </c:extLst>
        </c:ser>
        <c:dLbls>
          <c:showLegendKey val="0"/>
          <c:showVal val="0"/>
          <c:showCatName val="0"/>
          <c:showSerName val="0"/>
          <c:showPercent val="0"/>
          <c:showBubbleSize val="0"/>
        </c:dLbls>
        <c:gapWidth val="80"/>
        <c:overlap val="-30"/>
        <c:axId val="67451136"/>
        <c:axId val="66437120"/>
      </c:barChart>
      <c:catAx>
        <c:axId val="67451136"/>
        <c:scaling>
          <c:orientation val="maxMin"/>
        </c:scaling>
        <c:delete val="0"/>
        <c:axPos val="l"/>
        <c:numFmt formatCode="General" sourceLinked="1"/>
        <c:majorTickMark val="none"/>
        <c:minorTickMark val="none"/>
        <c:tickLblPos val="low"/>
        <c:spPr>
          <a:ln w="25400">
            <a:solidFill>
              <a:srgbClr val="2F2F2F"/>
            </a:solidFill>
          </a:ln>
        </c:spPr>
        <c:txPr>
          <a:bodyPr/>
          <a:lstStyle/>
          <a:p>
            <a:pPr>
              <a:defRPr sz="900" b="0" smtId="4294967295">
                <a:solidFill>
                  <a:srgbClr val="0F283E"/>
                </a:solidFill>
                <a:latin typeface="Arial" pitchFamily="34" charset="0"/>
              </a:defRPr>
            </a:pPr>
            <a:endParaRPr lang="en-US"/>
          </a:p>
        </c:txPr>
        <c:crossAx val="66437120"/>
        <c:crosses val="autoZero"/>
        <c:auto val="0"/>
        <c:lblAlgn val="ctr"/>
        <c:lblOffset val="100"/>
        <c:noMultiLvlLbl val="0"/>
      </c:catAx>
      <c:valAx>
        <c:axId val="66437120"/>
        <c:scaling>
          <c:orientation val="minMax"/>
          <c:min val="0"/>
        </c:scaling>
        <c:delete val="0"/>
        <c:axPos val="t"/>
        <c:majorGridlines>
          <c:spPr>
            <a:ln>
              <a:solidFill>
                <a:srgbClr val="2F2F2F"/>
              </a:solidFill>
              <a:prstDash val="dot"/>
            </a:ln>
          </c:spPr>
        </c:majorGridlines>
        <c:numFmt formatCode="#,##0.0%" sourceLinked="0"/>
        <c:majorTickMark val="none"/>
        <c:minorTickMark val="none"/>
        <c:tickLblPos val="nextTo"/>
        <c:spPr>
          <a:ln>
            <a:noFill/>
          </a:ln>
        </c:spPr>
        <c:txPr>
          <a:bodyPr/>
          <a:lstStyle/>
          <a:p>
            <a:pPr>
              <a:defRPr sz="900" b="0" smtId="4294967295">
                <a:solidFill>
                  <a:srgbClr val="0F283E"/>
                </a:solidFill>
                <a:latin typeface="Arial" pitchFamily="34" charset="0"/>
              </a:defRPr>
            </a:pPr>
            <a:endParaRPr lang="en-US"/>
          </a:p>
        </c:txPr>
        <c:crossAx val="67451136"/>
        <c:crosses val="autoZero"/>
        <c:crossBetween val="between"/>
      </c:valAx>
    </c:plotArea>
    <c:plotVisOnly val="1"/>
    <c:dispBlanksAs val="zero"/>
    <c:showDLblsOverMax val="1"/>
  </c:chart>
  <c:txPr>
    <a:bodyPr/>
    <a:lstStyle/>
    <a:p>
      <a:pPr>
        <a:defRPr sz="1800" smtId="4294967295"/>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Men's earnings</c:v>
                </c:pt>
              </c:strCache>
            </c:strRef>
          </c:tx>
          <c:spPr>
            <a:solidFill>
              <a:srgbClr val="0F283E"/>
            </a:solidFill>
            <a:ln>
              <a:solidFill>
                <a:srgbClr val="0F283E"/>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0-39DA-48CE-BD39-E8CCCC10267E}"/>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1-39DA-48CE-BD39-E8CCCC10267E}"/>
                </c:ext>
              </c:extLst>
            </c:dLbl>
            <c:dLbl>
              <c:idx val="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2-39DA-48CE-BD39-E8CCCC10267E}"/>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3-39DA-48CE-BD39-E8CCCC10267E}"/>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4-39DA-48CE-BD39-E8CCCC10267E}"/>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5-39DA-48CE-BD39-E8CCCC10267E}"/>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6-39DA-48CE-BD39-E8CCCC10267E}"/>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7-39DA-48CE-BD39-E8CCCC10267E}"/>
                </c:ext>
              </c:extLst>
            </c:dLbl>
            <c:dLbl>
              <c:idx val="8"/>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8-39DA-48CE-BD39-E8CCCC10267E}"/>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9-39DA-48CE-BD39-E8CCCC10267E}"/>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A-39DA-48CE-BD39-E8CCCC10267E}"/>
                </c:ext>
              </c:extLst>
            </c:dLbl>
            <c:dLbl>
              <c:idx val="1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B-39DA-48CE-BD39-E8CCCC10267E}"/>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C-39DA-48CE-BD39-E8CCCC10267E}"/>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D-39DA-48CE-BD39-E8CCCC10267E}"/>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Agriculture and related industries</c:v>
                </c:pt>
                <c:pt idx="1">
                  <c:v>Construction</c:v>
                </c:pt>
                <c:pt idx="2">
                  <c:v>Education and health services</c:v>
                </c:pt>
                <c:pt idx="3">
                  <c:v>Financial activities</c:v>
                </c:pt>
                <c:pt idx="4">
                  <c:v>Information</c:v>
                </c:pt>
                <c:pt idx="5">
                  <c:v>Leisure and hospitality</c:v>
                </c:pt>
                <c:pt idx="6">
                  <c:v>Manufacturing</c:v>
                </c:pt>
                <c:pt idx="7">
                  <c:v>Mining, quarrying, and oil and gas extraction</c:v>
                </c:pt>
                <c:pt idx="8">
                  <c:v>Other services</c:v>
                </c:pt>
                <c:pt idx="9">
                  <c:v>Professional and business services</c:v>
                </c:pt>
                <c:pt idx="10">
                  <c:v>Public administration</c:v>
                </c:pt>
                <c:pt idx="11">
                  <c:v>Retail trade</c:v>
                </c:pt>
                <c:pt idx="12">
                  <c:v>Total</c:v>
                </c:pt>
                <c:pt idx="13">
                  <c:v>Transportation and utilities</c:v>
                </c:pt>
              </c:strCache>
            </c:strRef>
          </c:cat>
          <c:val>
            <c:numRef>
              <c:f>Sheet1!$B$2:$B$15</c:f>
              <c:numCache>
                <c:formatCode>General</c:formatCode>
                <c:ptCount val="14"/>
                <c:pt idx="0">
                  <c:v>640</c:v>
                </c:pt>
                <c:pt idx="1">
                  <c:v>841</c:v>
                </c:pt>
                <c:pt idx="2">
                  <c:v>1080</c:v>
                </c:pt>
                <c:pt idx="3">
                  <c:v>1236</c:v>
                </c:pt>
                <c:pt idx="4">
                  <c:v>1302</c:v>
                </c:pt>
                <c:pt idx="5">
                  <c:v>596</c:v>
                </c:pt>
                <c:pt idx="6">
                  <c:v>954</c:v>
                </c:pt>
                <c:pt idx="7">
                  <c:v>1272</c:v>
                </c:pt>
                <c:pt idx="8">
                  <c:v>782</c:v>
                </c:pt>
                <c:pt idx="9">
                  <c:v>1186</c:v>
                </c:pt>
                <c:pt idx="10">
                  <c:v>1160</c:v>
                </c:pt>
                <c:pt idx="11">
                  <c:v>731</c:v>
                </c:pt>
                <c:pt idx="12">
                  <c:v>941</c:v>
                </c:pt>
                <c:pt idx="13">
                  <c:v>957</c:v>
                </c:pt>
              </c:numCache>
            </c:numRef>
          </c:val>
          <c:extLst>
            <c:ext xmlns:c16="http://schemas.microsoft.com/office/drawing/2014/chart" uri="{C3380CC4-5D6E-409C-BE32-E72D297353CC}">
              <c16:uniqueId val="{0000000E-39DA-48CE-BD39-E8CCCC10267E}"/>
            </c:ext>
          </c:extLst>
        </c:ser>
        <c:ser>
          <c:idx val="1"/>
          <c:order val="1"/>
          <c:tx>
            <c:strRef>
              <c:f>Sheet1!$C$1</c:f>
              <c:strCache>
                <c:ptCount val="1"/>
                <c:pt idx="0">
                  <c:v>Women's earnings</c:v>
                </c:pt>
              </c:strCache>
            </c:strRef>
          </c:tx>
          <c:spPr>
            <a:solidFill>
              <a:srgbClr val="2875DD"/>
            </a:solidFill>
            <a:ln>
              <a:solidFill>
                <a:srgbClr val="2875DD"/>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F-39DA-48CE-BD39-E8CCCC10267E}"/>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0-39DA-48CE-BD39-E8CCCC10267E}"/>
                </c:ext>
              </c:extLst>
            </c:dLbl>
            <c:dLbl>
              <c:idx val="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1-39DA-48CE-BD39-E8CCCC10267E}"/>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2-39DA-48CE-BD39-E8CCCC10267E}"/>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3-39DA-48CE-BD39-E8CCCC10267E}"/>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4-39DA-48CE-BD39-E8CCCC10267E}"/>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5-39DA-48CE-BD39-E8CCCC10267E}"/>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6-39DA-48CE-BD39-E8CCCC10267E}"/>
                </c:ext>
              </c:extLst>
            </c:dLbl>
            <c:dLbl>
              <c:idx val="8"/>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7-39DA-48CE-BD39-E8CCCC10267E}"/>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8-39DA-48CE-BD39-E8CCCC10267E}"/>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9-39DA-48CE-BD39-E8CCCC10267E}"/>
                </c:ext>
              </c:extLst>
            </c:dLbl>
            <c:dLbl>
              <c:idx val="1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A-39DA-48CE-BD39-E8CCCC10267E}"/>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B-39DA-48CE-BD39-E8CCCC10267E}"/>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C-39DA-48CE-BD39-E8CCCC10267E}"/>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Agriculture and related industries</c:v>
                </c:pt>
                <c:pt idx="1">
                  <c:v>Construction</c:v>
                </c:pt>
                <c:pt idx="2">
                  <c:v>Education and health services</c:v>
                </c:pt>
                <c:pt idx="3">
                  <c:v>Financial activities</c:v>
                </c:pt>
                <c:pt idx="4">
                  <c:v>Information</c:v>
                </c:pt>
                <c:pt idx="5">
                  <c:v>Leisure and hospitality</c:v>
                </c:pt>
                <c:pt idx="6">
                  <c:v>Manufacturing</c:v>
                </c:pt>
                <c:pt idx="7">
                  <c:v>Mining, quarrying, and oil and gas extraction</c:v>
                </c:pt>
                <c:pt idx="8">
                  <c:v>Other services</c:v>
                </c:pt>
                <c:pt idx="9">
                  <c:v>Professional and business services</c:v>
                </c:pt>
                <c:pt idx="10">
                  <c:v>Public administration</c:v>
                </c:pt>
                <c:pt idx="11">
                  <c:v>Retail trade</c:v>
                </c:pt>
                <c:pt idx="12">
                  <c:v>Total</c:v>
                </c:pt>
                <c:pt idx="13">
                  <c:v>Transportation and utilities</c:v>
                </c:pt>
              </c:strCache>
            </c:strRef>
          </c:cat>
          <c:val>
            <c:numRef>
              <c:f>Sheet1!$C$2:$C$15</c:f>
              <c:numCache>
                <c:formatCode>General</c:formatCode>
                <c:ptCount val="14"/>
                <c:pt idx="0">
                  <c:v>515</c:v>
                </c:pt>
                <c:pt idx="1">
                  <c:v>873</c:v>
                </c:pt>
                <c:pt idx="2">
                  <c:v>832</c:v>
                </c:pt>
                <c:pt idx="3">
                  <c:v>886</c:v>
                </c:pt>
                <c:pt idx="4">
                  <c:v>950</c:v>
                </c:pt>
                <c:pt idx="5">
                  <c:v>510</c:v>
                </c:pt>
                <c:pt idx="6">
                  <c:v>729</c:v>
                </c:pt>
                <c:pt idx="7">
                  <c:v>1124</c:v>
                </c:pt>
                <c:pt idx="8">
                  <c:v>613</c:v>
                </c:pt>
                <c:pt idx="9">
                  <c:v>883</c:v>
                </c:pt>
                <c:pt idx="10">
                  <c:v>924</c:v>
                </c:pt>
                <c:pt idx="11">
                  <c:v>591</c:v>
                </c:pt>
                <c:pt idx="12">
                  <c:v>770</c:v>
                </c:pt>
                <c:pt idx="13">
                  <c:v>733</c:v>
                </c:pt>
              </c:numCache>
            </c:numRef>
          </c:val>
          <c:extLst>
            <c:ext xmlns:c16="http://schemas.microsoft.com/office/drawing/2014/chart" uri="{C3380CC4-5D6E-409C-BE32-E72D297353CC}">
              <c16:uniqueId val="{0000001D-39DA-48CE-BD39-E8CCCC10267E}"/>
            </c:ext>
          </c:extLst>
        </c:ser>
        <c:dLbls>
          <c:showLegendKey val="0"/>
          <c:showVal val="0"/>
          <c:showCatName val="0"/>
          <c:showSerName val="0"/>
          <c:showPercent val="0"/>
          <c:showBubbleSize val="0"/>
        </c:dLbls>
        <c:gapWidth val="80"/>
        <c:overlap val="-30"/>
        <c:axId val="67451136"/>
        <c:axId val="66437120"/>
      </c:barChart>
      <c:catAx>
        <c:axId val="67451136"/>
        <c:scaling>
          <c:orientation val="maxMin"/>
        </c:scaling>
        <c:delete val="0"/>
        <c:axPos val="l"/>
        <c:numFmt formatCode="General" sourceLinked="1"/>
        <c:majorTickMark val="none"/>
        <c:minorTickMark val="none"/>
        <c:tickLblPos val="low"/>
        <c:spPr>
          <a:ln w="25400">
            <a:solidFill>
              <a:srgbClr val="2F2F2F"/>
            </a:solidFill>
          </a:ln>
        </c:spPr>
        <c:txPr>
          <a:bodyPr/>
          <a:lstStyle/>
          <a:p>
            <a:pPr>
              <a:defRPr sz="900" b="0" smtId="4294967295">
                <a:solidFill>
                  <a:srgbClr val="0F283E"/>
                </a:solidFill>
                <a:latin typeface="Arial" pitchFamily="34" charset="0"/>
              </a:defRPr>
            </a:pPr>
            <a:endParaRPr lang="en-US"/>
          </a:p>
        </c:txPr>
        <c:crossAx val="66437120"/>
        <c:crosses val="autoZero"/>
        <c:auto val="0"/>
        <c:lblAlgn val="ctr"/>
        <c:lblOffset val="100"/>
        <c:noMultiLvlLbl val="0"/>
      </c:catAx>
      <c:valAx>
        <c:axId val="66437120"/>
        <c:scaling>
          <c:orientation val="minMax"/>
          <c:min val="0"/>
        </c:scaling>
        <c:delete val="0"/>
        <c:axPos val="t"/>
        <c:majorGridlines>
          <c:spPr>
            <a:ln>
              <a:solidFill>
                <a:srgbClr val="2F2F2F"/>
              </a:solidFill>
              <a:prstDash val="dot"/>
            </a:ln>
          </c:spPr>
        </c:majorGridlines>
        <c:numFmt formatCode="General" sourceLinked="1"/>
        <c:majorTickMark val="none"/>
        <c:minorTickMark val="none"/>
        <c:tickLblPos val="nextTo"/>
        <c:spPr>
          <a:ln>
            <a:noFill/>
          </a:ln>
        </c:spPr>
        <c:txPr>
          <a:bodyPr/>
          <a:lstStyle/>
          <a:p>
            <a:pPr>
              <a:defRPr sz="900" b="0" smtId="4294967295">
                <a:solidFill>
                  <a:srgbClr val="0F283E"/>
                </a:solidFill>
                <a:latin typeface="Arial" pitchFamily="34" charset="0"/>
              </a:defRPr>
            </a:pPr>
            <a:endParaRPr lang="en-US"/>
          </a:p>
        </c:txPr>
        <c:crossAx val="67451136"/>
        <c:crosses val="autoZero"/>
        <c:crossBetween val="between"/>
      </c:valAx>
    </c:plotArea>
    <c:legend>
      <c:legendPos val="t"/>
      <c:overlay val="0"/>
      <c:txPr>
        <a:bodyPr/>
        <a:lstStyle/>
        <a:p>
          <a:pPr>
            <a:defRPr sz="900" smtId="4294967295">
              <a:solidFill>
                <a:srgbClr val="0F283E"/>
              </a:solidFill>
              <a:latin typeface="Arial" pitchFamily="34" charset="0"/>
            </a:defRPr>
          </a:pPr>
          <a:endParaRPr lang="en-US"/>
        </a:p>
      </c:txPr>
    </c:legend>
    <c:plotVisOnly val="1"/>
    <c:dispBlanksAs val="zero"/>
    <c:showDLblsOverMax val="1"/>
  </c:chart>
  <c:txPr>
    <a:bodyPr/>
    <a:lstStyle/>
    <a:p>
      <a:pPr>
        <a:defRPr sz="1800" smtId="4294967295"/>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Men's earnings</c:v>
                </c:pt>
              </c:strCache>
            </c:strRef>
          </c:tx>
          <c:spPr>
            <a:solidFill>
              <a:srgbClr val="0F283E"/>
            </a:solidFill>
            <a:ln>
              <a:solidFill>
                <a:srgbClr val="0F283E"/>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0-779A-4A61-B6CE-31CC4C0E8890}"/>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1-779A-4A61-B6CE-31CC4C0E8890}"/>
                </c:ext>
              </c:extLst>
            </c:dLbl>
            <c:dLbl>
              <c:idx val="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2-779A-4A61-B6CE-31CC4C0E8890}"/>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3-779A-4A61-B6CE-31CC4C0E8890}"/>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4-779A-4A61-B6CE-31CC4C0E8890}"/>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5-779A-4A61-B6CE-31CC4C0E8890}"/>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6-779A-4A61-B6CE-31CC4C0E8890}"/>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7-779A-4A61-B6CE-31CC4C0E8890}"/>
                </c:ext>
              </c:extLst>
            </c:dLbl>
            <c:dLbl>
              <c:idx val="8"/>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8-779A-4A61-B6CE-31CC4C0E8890}"/>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9-779A-4A61-B6CE-31CC4C0E8890}"/>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A-779A-4A61-B6CE-31CC4C0E8890}"/>
                </c:ext>
              </c:extLst>
            </c:dLbl>
            <c:dLbl>
              <c:idx val="1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B-779A-4A61-B6CE-31CC4C0E8890}"/>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C-779A-4A61-B6CE-31CC4C0E8890}"/>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D-779A-4A61-B6CE-31CC4C0E8890}"/>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Elementary and middle school teachers</c:v>
                </c:pt>
                <c:pt idx="1">
                  <c:v>Registered nurses</c:v>
                </c:pt>
                <c:pt idx="2">
                  <c:v>Secretaries and administrative assistants</c:v>
                </c:pt>
                <c:pt idx="3">
                  <c:v>Nursing, psychiatric, and home health aides</c:v>
                </c:pt>
                <c:pt idx="4">
                  <c:v>Customer service representatives</c:v>
                </c:pt>
                <c:pt idx="5">
                  <c:v>Managers, all other</c:v>
                </c:pt>
                <c:pt idx="6">
                  <c:v>First-line supervisors of retail sales workers</c:v>
                </c:pt>
                <c:pt idx="7">
                  <c:v>Cashiers</c:v>
                </c:pt>
                <c:pt idx="8">
                  <c:v>Accountants and auditors</c:v>
                </c:pt>
                <c:pt idx="9">
                  <c:v>Receptionists and information clerks</c:v>
                </c:pt>
                <c:pt idx="10">
                  <c:v>First-line supervisors of office and administrative support workers</c:v>
                </c:pt>
                <c:pt idx="11">
                  <c:v>Office clerks, general</c:v>
                </c:pt>
                <c:pt idx="12">
                  <c:v>Retail salespersons</c:v>
                </c:pt>
                <c:pt idx="13">
                  <c:v>Maids and housekeeping cleaners</c:v>
                </c:pt>
              </c:strCache>
            </c:strRef>
          </c:cat>
          <c:val>
            <c:numRef>
              <c:f>Sheet1!$B$2:$B$15</c:f>
              <c:numCache>
                <c:formatCode>General</c:formatCode>
                <c:ptCount val="14"/>
                <c:pt idx="0">
                  <c:v>1139</c:v>
                </c:pt>
                <c:pt idx="1">
                  <c:v>1260</c:v>
                </c:pt>
                <c:pt idx="2">
                  <c:v>852</c:v>
                </c:pt>
                <c:pt idx="3">
                  <c:v>583</c:v>
                </c:pt>
                <c:pt idx="4">
                  <c:v>712</c:v>
                </c:pt>
                <c:pt idx="5">
                  <c:v>1629</c:v>
                </c:pt>
                <c:pt idx="6">
                  <c:v>891</c:v>
                </c:pt>
                <c:pt idx="7">
                  <c:v>493</c:v>
                </c:pt>
                <c:pt idx="8">
                  <c:v>1389</c:v>
                </c:pt>
                <c:pt idx="9">
                  <c:v>652</c:v>
                </c:pt>
                <c:pt idx="10">
                  <c:v>987</c:v>
                </c:pt>
                <c:pt idx="11">
                  <c:v>780</c:v>
                </c:pt>
                <c:pt idx="12">
                  <c:v>704</c:v>
                </c:pt>
                <c:pt idx="13">
                  <c:v>508</c:v>
                </c:pt>
              </c:numCache>
            </c:numRef>
          </c:val>
          <c:extLst>
            <c:ext xmlns:c16="http://schemas.microsoft.com/office/drawing/2014/chart" uri="{C3380CC4-5D6E-409C-BE32-E72D297353CC}">
              <c16:uniqueId val="{0000000E-779A-4A61-B6CE-31CC4C0E8890}"/>
            </c:ext>
          </c:extLst>
        </c:ser>
        <c:ser>
          <c:idx val="1"/>
          <c:order val="1"/>
          <c:tx>
            <c:strRef>
              <c:f>Sheet1!$C$1</c:f>
              <c:strCache>
                <c:ptCount val="1"/>
                <c:pt idx="0">
                  <c:v>Women's earnings</c:v>
                </c:pt>
              </c:strCache>
            </c:strRef>
          </c:tx>
          <c:spPr>
            <a:solidFill>
              <a:srgbClr val="2875DD"/>
            </a:solidFill>
            <a:ln>
              <a:solidFill>
                <a:srgbClr val="2875DD"/>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F-779A-4A61-B6CE-31CC4C0E8890}"/>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0-779A-4A61-B6CE-31CC4C0E8890}"/>
                </c:ext>
              </c:extLst>
            </c:dLbl>
            <c:dLbl>
              <c:idx val="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1-779A-4A61-B6CE-31CC4C0E8890}"/>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2-779A-4A61-B6CE-31CC4C0E8890}"/>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3-779A-4A61-B6CE-31CC4C0E8890}"/>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4-779A-4A61-B6CE-31CC4C0E8890}"/>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5-779A-4A61-B6CE-31CC4C0E8890}"/>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6-779A-4A61-B6CE-31CC4C0E8890}"/>
                </c:ext>
              </c:extLst>
            </c:dLbl>
            <c:dLbl>
              <c:idx val="8"/>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7-779A-4A61-B6CE-31CC4C0E8890}"/>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8-779A-4A61-B6CE-31CC4C0E8890}"/>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9-779A-4A61-B6CE-31CC4C0E8890}"/>
                </c:ext>
              </c:extLst>
            </c:dLbl>
            <c:dLbl>
              <c:idx val="1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A-779A-4A61-B6CE-31CC4C0E8890}"/>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B-779A-4A61-B6CE-31CC4C0E8890}"/>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C-779A-4A61-B6CE-31CC4C0E8890}"/>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Elementary and middle school teachers</c:v>
                </c:pt>
                <c:pt idx="1">
                  <c:v>Registered nurses</c:v>
                </c:pt>
                <c:pt idx="2">
                  <c:v>Secretaries and administrative assistants</c:v>
                </c:pt>
                <c:pt idx="3">
                  <c:v>Nursing, psychiatric, and home health aides</c:v>
                </c:pt>
                <c:pt idx="4">
                  <c:v>Customer service representatives</c:v>
                </c:pt>
                <c:pt idx="5">
                  <c:v>Managers, all other</c:v>
                </c:pt>
                <c:pt idx="6">
                  <c:v>First-line supervisors of retail sales workers</c:v>
                </c:pt>
                <c:pt idx="7">
                  <c:v>Cashiers</c:v>
                </c:pt>
                <c:pt idx="8">
                  <c:v>Accountants and auditors</c:v>
                </c:pt>
                <c:pt idx="9">
                  <c:v>Receptionists and information clerks</c:v>
                </c:pt>
                <c:pt idx="10">
                  <c:v>First-line supervisors of office and administrative support workers</c:v>
                </c:pt>
                <c:pt idx="11">
                  <c:v>Office clerks, general</c:v>
                </c:pt>
                <c:pt idx="12">
                  <c:v>Retail salespersons</c:v>
                </c:pt>
                <c:pt idx="13">
                  <c:v>Maids and housekeeping cleaners</c:v>
                </c:pt>
              </c:strCache>
            </c:strRef>
          </c:cat>
          <c:val>
            <c:numRef>
              <c:f>Sheet1!$C$2:$C$15</c:f>
              <c:numCache>
                <c:formatCode>General</c:formatCode>
                <c:ptCount val="14"/>
                <c:pt idx="0">
                  <c:v>987</c:v>
                </c:pt>
                <c:pt idx="1">
                  <c:v>1143</c:v>
                </c:pt>
                <c:pt idx="2">
                  <c:v>735</c:v>
                </c:pt>
                <c:pt idx="3">
                  <c:v>493</c:v>
                </c:pt>
                <c:pt idx="4">
                  <c:v>637</c:v>
                </c:pt>
                <c:pt idx="5">
                  <c:v>1251</c:v>
                </c:pt>
                <c:pt idx="6">
                  <c:v>639</c:v>
                </c:pt>
                <c:pt idx="7">
                  <c:v>422</c:v>
                </c:pt>
                <c:pt idx="8">
                  <c:v>1065</c:v>
                </c:pt>
                <c:pt idx="9">
                  <c:v>599</c:v>
                </c:pt>
                <c:pt idx="10">
                  <c:v>819</c:v>
                </c:pt>
                <c:pt idx="11">
                  <c:v>670</c:v>
                </c:pt>
                <c:pt idx="12">
                  <c:v>523</c:v>
                </c:pt>
                <c:pt idx="13">
                  <c:v>439</c:v>
                </c:pt>
              </c:numCache>
            </c:numRef>
          </c:val>
          <c:extLst>
            <c:ext xmlns:c16="http://schemas.microsoft.com/office/drawing/2014/chart" uri="{C3380CC4-5D6E-409C-BE32-E72D297353CC}">
              <c16:uniqueId val="{0000001D-779A-4A61-B6CE-31CC4C0E8890}"/>
            </c:ext>
          </c:extLst>
        </c:ser>
        <c:dLbls>
          <c:showLegendKey val="0"/>
          <c:showVal val="0"/>
          <c:showCatName val="0"/>
          <c:showSerName val="0"/>
          <c:showPercent val="0"/>
          <c:showBubbleSize val="0"/>
        </c:dLbls>
        <c:gapWidth val="80"/>
        <c:overlap val="-30"/>
        <c:axId val="67451136"/>
        <c:axId val="66437120"/>
      </c:barChart>
      <c:catAx>
        <c:axId val="67451136"/>
        <c:scaling>
          <c:orientation val="maxMin"/>
        </c:scaling>
        <c:delete val="0"/>
        <c:axPos val="l"/>
        <c:numFmt formatCode="General" sourceLinked="1"/>
        <c:majorTickMark val="none"/>
        <c:minorTickMark val="none"/>
        <c:tickLblPos val="low"/>
        <c:spPr>
          <a:ln w="25400">
            <a:solidFill>
              <a:srgbClr val="2F2F2F"/>
            </a:solidFill>
          </a:ln>
        </c:spPr>
        <c:txPr>
          <a:bodyPr/>
          <a:lstStyle/>
          <a:p>
            <a:pPr>
              <a:defRPr sz="900" b="0" smtId="4294967295">
                <a:solidFill>
                  <a:srgbClr val="0F283E"/>
                </a:solidFill>
                <a:latin typeface="Arial" pitchFamily="34" charset="0"/>
              </a:defRPr>
            </a:pPr>
            <a:endParaRPr lang="en-US"/>
          </a:p>
        </c:txPr>
        <c:crossAx val="66437120"/>
        <c:crosses val="autoZero"/>
        <c:auto val="0"/>
        <c:lblAlgn val="ctr"/>
        <c:lblOffset val="100"/>
        <c:noMultiLvlLbl val="0"/>
      </c:catAx>
      <c:valAx>
        <c:axId val="66437120"/>
        <c:scaling>
          <c:orientation val="minMax"/>
          <c:min val="0"/>
        </c:scaling>
        <c:delete val="0"/>
        <c:axPos val="t"/>
        <c:majorGridlines>
          <c:spPr>
            <a:ln>
              <a:solidFill>
                <a:srgbClr val="2F2F2F"/>
              </a:solidFill>
              <a:prstDash val="dot"/>
            </a:ln>
          </c:spPr>
        </c:majorGridlines>
        <c:numFmt formatCode="General" sourceLinked="1"/>
        <c:majorTickMark val="none"/>
        <c:minorTickMark val="none"/>
        <c:tickLblPos val="nextTo"/>
        <c:spPr>
          <a:ln>
            <a:noFill/>
          </a:ln>
        </c:spPr>
        <c:txPr>
          <a:bodyPr/>
          <a:lstStyle/>
          <a:p>
            <a:pPr>
              <a:defRPr sz="900" b="0" smtId="4294967295">
                <a:solidFill>
                  <a:srgbClr val="0F283E"/>
                </a:solidFill>
                <a:latin typeface="Arial" pitchFamily="34" charset="0"/>
              </a:defRPr>
            </a:pPr>
            <a:endParaRPr lang="en-US"/>
          </a:p>
        </c:txPr>
        <c:crossAx val="67451136"/>
        <c:crosses val="autoZero"/>
        <c:crossBetween val="between"/>
      </c:valAx>
    </c:plotArea>
    <c:legend>
      <c:legendPos val="t"/>
      <c:overlay val="0"/>
      <c:txPr>
        <a:bodyPr/>
        <a:lstStyle/>
        <a:p>
          <a:pPr>
            <a:defRPr sz="900" smtId="4294967295">
              <a:solidFill>
                <a:srgbClr val="0F283E"/>
              </a:solidFill>
              <a:latin typeface="Arial" pitchFamily="34" charset="0"/>
            </a:defRPr>
          </a:pPr>
          <a:endParaRPr lang="en-US"/>
        </a:p>
      </c:txPr>
    </c:legend>
    <c:plotVisOnly val="1"/>
    <c:dispBlanksAs val="zero"/>
    <c:showDLblsOverMax val="1"/>
  </c:chart>
  <c:txPr>
    <a:bodyPr/>
    <a:lstStyle/>
    <a:p>
      <a:pPr>
        <a:defRPr sz="1800" smtId="4294967295"/>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Women's earnings</c:v>
                </c:pt>
              </c:strCache>
            </c:strRef>
          </c:tx>
          <c:spPr>
            <a:solidFill>
              <a:srgbClr val="0F283E"/>
            </a:solidFill>
            <a:ln>
              <a:solidFill>
                <a:srgbClr val="0F283E"/>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0-5676-473C-A027-9EC878137666}"/>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1-5676-473C-A027-9EC878137666}"/>
                </c:ext>
              </c:extLst>
            </c:dLbl>
            <c:dLbl>
              <c:idx val="2"/>
              <c:numFmt formatCode=";;" sourceLinked="0"/>
              <c:spPr/>
              <c:txPr>
                <a:bodyPr/>
                <a:lstStyle/>
                <a:p>
                  <a:pPr>
                    <a:defRPr smtId="4294967295">
                      <a:noFill/>
                    </a:defRPr>
                  </a:pPr>
                  <a:endParaRPr lang="en-US"/>
                </a:p>
              </c:txPr>
              <c:showLegendKey val="0"/>
              <c:showVal val="1"/>
              <c:showCatName val="0"/>
              <c:showSerName val="0"/>
              <c:showPercent val="0"/>
              <c:showBubbleSize val="0"/>
              <c:extLst>
                <c:ext xmlns:c16="http://schemas.microsoft.com/office/drawing/2014/chart" uri="{C3380CC4-5D6E-409C-BE32-E72D297353CC}">
                  <c16:uniqueId val="{00000002-5676-473C-A027-9EC878137666}"/>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3-5676-473C-A027-9EC878137666}"/>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4-5676-473C-A027-9EC878137666}"/>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5-5676-473C-A027-9EC878137666}"/>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6-5676-473C-A027-9EC878137666}"/>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7-5676-473C-A027-9EC878137666}"/>
                </c:ext>
              </c:extLst>
            </c:dLbl>
            <c:dLbl>
              <c:idx val="8"/>
              <c:numFmt formatCode=";;" sourceLinked="0"/>
              <c:spPr/>
              <c:txPr>
                <a:bodyPr/>
                <a:lstStyle/>
                <a:p>
                  <a:pPr>
                    <a:defRPr smtId="4294967295">
                      <a:noFill/>
                    </a:defRPr>
                  </a:pPr>
                  <a:endParaRPr lang="en-US"/>
                </a:p>
              </c:txPr>
              <c:showLegendKey val="0"/>
              <c:showVal val="1"/>
              <c:showCatName val="0"/>
              <c:showSerName val="0"/>
              <c:showPercent val="0"/>
              <c:showBubbleSize val="0"/>
              <c:extLst>
                <c:ext xmlns:c16="http://schemas.microsoft.com/office/drawing/2014/chart" uri="{C3380CC4-5D6E-409C-BE32-E72D297353CC}">
                  <c16:uniqueId val="{00000008-5676-473C-A027-9EC878137666}"/>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9-5676-473C-A027-9EC878137666}"/>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A-5676-473C-A027-9EC878137666}"/>
                </c:ext>
              </c:extLst>
            </c:dLbl>
            <c:dLbl>
              <c:idx val="11"/>
              <c:numFmt formatCode=";;" sourceLinked="0"/>
              <c:spPr/>
              <c:txPr>
                <a:bodyPr/>
                <a:lstStyle/>
                <a:p>
                  <a:pPr>
                    <a:defRPr smtId="4294967295">
                      <a:noFill/>
                    </a:defRPr>
                  </a:pPr>
                  <a:endParaRPr lang="en-US"/>
                </a:p>
              </c:txPr>
              <c:showLegendKey val="0"/>
              <c:showVal val="1"/>
              <c:showCatName val="0"/>
              <c:showSerName val="0"/>
              <c:showPercent val="0"/>
              <c:showBubbleSize val="0"/>
              <c:extLst>
                <c:ext xmlns:c16="http://schemas.microsoft.com/office/drawing/2014/chart" uri="{C3380CC4-5D6E-409C-BE32-E72D297353CC}">
                  <c16:uniqueId val="{0000000B-5676-473C-A027-9EC878137666}"/>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C-5676-473C-A027-9EC878137666}"/>
                </c:ext>
              </c:extLst>
            </c:dLbl>
            <c:dLbl>
              <c:idx val="13"/>
              <c:numFmt formatCode=";;" sourceLinked="0"/>
              <c:spPr/>
              <c:txPr>
                <a:bodyPr/>
                <a:lstStyle/>
                <a:p>
                  <a:pPr>
                    <a:defRPr smtId="4294967295">
                      <a:noFill/>
                    </a:defRPr>
                  </a:pPr>
                  <a:endParaRPr lang="en-US"/>
                </a:p>
              </c:txPr>
              <c:showLegendKey val="0"/>
              <c:showVal val="1"/>
              <c:showCatName val="0"/>
              <c:showSerName val="0"/>
              <c:showPercent val="0"/>
              <c:showBubbleSize val="0"/>
              <c:extLst>
                <c:ext xmlns:c16="http://schemas.microsoft.com/office/drawing/2014/chart" uri="{C3380CC4-5D6E-409C-BE32-E72D297353CC}">
                  <c16:uniqueId val="{0000000D-5676-473C-A027-9EC878137666}"/>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Driver/sales workers and truck drivers</c:v>
                </c:pt>
                <c:pt idx="1">
                  <c:v>Managers, all other</c:v>
                </c:pt>
                <c:pt idx="2">
                  <c:v>Construction laborers*</c:v>
                </c:pt>
                <c:pt idx="3">
                  <c:v>First-line supervisors of retail sales workers</c:v>
                </c:pt>
                <c:pt idx="4">
                  <c:v>Software developers, applications and systems software</c:v>
                </c:pt>
                <c:pt idx="5">
                  <c:v>Laborers and freight, stock, and material movers, hand</c:v>
                </c:pt>
                <c:pt idx="6">
                  <c:v>Janitors and building cleaners</c:v>
                </c:pt>
                <c:pt idx="7">
                  <c:v>Retail salespersons</c:v>
                </c:pt>
                <c:pt idx="8">
                  <c:v>Carpenters*</c:v>
                </c:pt>
                <c:pt idx="9">
                  <c:v>Sales representatives, wholesale and manufacturing</c:v>
                </c:pt>
                <c:pt idx="10">
                  <c:v>Cooks</c:v>
                </c:pt>
                <c:pt idx="11">
                  <c:v>Grounds maintenance workers*</c:v>
                </c:pt>
                <c:pt idx="12">
                  <c:v>Chief executives</c:v>
                </c:pt>
                <c:pt idx="13">
                  <c:v>Electricians*</c:v>
                </c:pt>
              </c:strCache>
            </c:strRef>
          </c:cat>
          <c:val>
            <c:numRef>
              <c:f>Sheet1!$B$2:$B$15</c:f>
              <c:numCache>
                <c:formatCode>General</c:formatCode>
                <c:ptCount val="14"/>
                <c:pt idx="0">
                  <c:v>559</c:v>
                </c:pt>
                <c:pt idx="1">
                  <c:v>1341</c:v>
                </c:pt>
                <c:pt idx="3">
                  <c:v>672</c:v>
                </c:pt>
                <c:pt idx="4">
                  <c:v>1644</c:v>
                </c:pt>
                <c:pt idx="5">
                  <c:v>541</c:v>
                </c:pt>
                <c:pt idx="6">
                  <c:v>491</c:v>
                </c:pt>
                <c:pt idx="7">
                  <c:v>543</c:v>
                </c:pt>
                <c:pt idx="9">
                  <c:v>1009</c:v>
                </c:pt>
                <c:pt idx="10">
                  <c:v>437</c:v>
                </c:pt>
                <c:pt idx="12">
                  <c:v>1736</c:v>
                </c:pt>
              </c:numCache>
            </c:numRef>
          </c:val>
          <c:extLst>
            <c:ext xmlns:c16="http://schemas.microsoft.com/office/drawing/2014/chart" uri="{C3380CC4-5D6E-409C-BE32-E72D297353CC}">
              <c16:uniqueId val="{0000000E-5676-473C-A027-9EC878137666}"/>
            </c:ext>
          </c:extLst>
        </c:ser>
        <c:ser>
          <c:idx val="1"/>
          <c:order val="1"/>
          <c:tx>
            <c:strRef>
              <c:f>Sheet1!$C$1</c:f>
              <c:strCache>
                <c:ptCount val="1"/>
                <c:pt idx="0">
                  <c:v>Men's earnings</c:v>
                </c:pt>
              </c:strCache>
            </c:strRef>
          </c:tx>
          <c:spPr>
            <a:solidFill>
              <a:srgbClr val="2875DD"/>
            </a:solidFill>
            <a:ln>
              <a:solidFill>
                <a:srgbClr val="2875DD"/>
              </a:solidFill>
            </a:ln>
          </c:spPr>
          <c:invertIfNegative val="0"/>
          <c:dLbls>
            <c:dLbl>
              <c:idx val="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0F-5676-473C-A027-9EC878137666}"/>
                </c:ext>
              </c:extLst>
            </c:dLbl>
            <c:dLbl>
              <c:idx val="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0-5676-473C-A027-9EC878137666}"/>
                </c:ext>
              </c:extLst>
            </c:dLbl>
            <c:dLbl>
              <c:idx val="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1-5676-473C-A027-9EC878137666}"/>
                </c:ext>
              </c:extLst>
            </c:dLbl>
            <c:dLbl>
              <c:idx val="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2-5676-473C-A027-9EC878137666}"/>
                </c:ext>
              </c:extLst>
            </c:dLbl>
            <c:dLbl>
              <c:idx val="4"/>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3-5676-473C-A027-9EC878137666}"/>
                </c:ext>
              </c:extLst>
            </c:dLbl>
            <c:dLbl>
              <c:idx val="5"/>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4-5676-473C-A027-9EC878137666}"/>
                </c:ext>
              </c:extLst>
            </c:dLbl>
            <c:dLbl>
              <c:idx val="6"/>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5-5676-473C-A027-9EC878137666}"/>
                </c:ext>
              </c:extLst>
            </c:dLbl>
            <c:dLbl>
              <c:idx val="7"/>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6-5676-473C-A027-9EC878137666}"/>
                </c:ext>
              </c:extLst>
            </c:dLbl>
            <c:dLbl>
              <c:idx val="8"/>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7-5676-473C-A027-9EC878137666}"/>
                </c:ext>
              </c:extLst>
            </c:dLbl>
            <c:dLbl>
              <c:idx val="9"/>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8-5676-473C-A027-9EC878137666}"/>
                </c:ext>
              </c:extLst>
            </c:dLbl>
            <c:dLbl>
              <c:idx val="10"/>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9-5676-473C-A027-9EC878137666}"/>
                </c:ext>
              </c:extLst>
            </c:dLbl>
            <c:dLbl>
              <c:idx val="11"/>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A-5676-473C-A027-9EC878137666}"/>
                </c:ext>
              </c:extLst>
            </c:dLbl>
            <c:dLbl>
              <c:idx val="12"/>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B-5676-473C-A027-9EC878137666}"/>
                </c:ext>
              </c:extLst>
            </c:dLbl>
            <c:dLbl>
              <c:idx val="13"/>
              <c:numFmt formatCode="#,##0" sourceLinked="0"/>
              <c:spPr/>
              <c:txPr>
                <a:bodyPr/>
                <a:lstStyle/>
                <a:p>
                  <a:pPr>
                    <a:defRPr sz="800" b="1" smtId="4294967295">
                      <a:solidFill>
                        <a:srgbClr val="0F283E"/>
                      </a:solidFill>
                      <a:latin typeface="Arial" pitchFamily="34"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C-5676-473C-A027-9EC878137666}"/>
                </c:ext>
              </c:extLst>
            </c:dLbl>
            <c:spPr>
              <a:noFill/>
              <a:ln>
                <a:noFill/>
              </a:ln>
              <a:effectLst/>
            </c:spPr>
            <c:txPr>
              <a:bodyPr/>
              <a:lstStyle/>
              <a:p>
                <a:pPr>
                  <a:defRPr sz="700" b="0" smtId="4294967295">
                    <a:solidFill>
                      <a:srgbClr val="0F283E"/>
                    </a:solidFill>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Driver/sales workers and truck drivers</c:v>
                </c:pt>
                <c:pt idx="1">
                  <c:v>Managers, all other</c:v>
                </c:pt>
                <c:pt idx="2">
                  <c:v>Construction laborers*</c:v>
                </c:pt>
                <c:pt idx="3">
                  <c:v>First-line supervisors of retail sales workers</c:v>
                </c:pt>
                <c:pt idx="4">
                  <c:v>Software developers, applications and systems software</c:v>
                </c:pt>
                <c:pt idx="5">
                  <c:v>Laborers and freight, stock, and material movers, hand</c:v>
                </c:pt>
                <c:pt idx="6">
                  <c:v>Janitors and building cleaners</c:v>
                </c:pt>
                <c:pt idx="7">
                  <c:v>Retail salespersons</c:v>
                </c:pt>
                <c:pt idx="8">
                  <c:v>Carpenters*</c:v>
                </c:pt>
                <c:pt idx="9">
                  <c:v>Sales representatives, wholesale and manufacturing</c:v>
                </c:pt>
                <c:pt idx="10">
                  <c:v>Cooks</c:v>
                </c:pt>
                <c:pt idx="11">
                  <c:v>Grounds maintenance workers*</c:v>
                </c:pt>
                <c:pt idx="12">
                  <c:v>Chief executives</c:v>
                </c:pt>
                <c:pt idx="13">
                  <c:v>Electricians*</c:v>
                </c:pt>
              </c:strCache>
            </c:strRef>
          </c:cat>
          <c:val>
            <c:numRef>
              <c:f>Sheet1!$C$2:$C$15</c:f>
              <c:numCache>
                <c:formatCode>General</c:formatCode>
                <c:ptCount val="14"/>
                <c:pt idx="0">
                  <c:v>829</c:v>
                </c:pt>
                <c:pt idx="1">
                  <c:v>1628</c:v>
                </c:pt>
                <c:pt idx="2">
                  <c:v>717</c:v>
                </c:pt>
                <c:pt idx="3">
                  <c:v>911</c:v>
                </c:pt>
                <c:pt idx="4">
                  <c:v>1894</c:v>
                </c:pt>
                <c:pt idx="5">
                  <c:v>620</c:v>
                </c:pt>
                <c:pt idx="6">
                  <c:v>607</c:v>
                </c:pt>
                <c:pt idx="7">
                  <c:v>764</c:v>
                </c:pt>
                <c:pt idx="8">
                  <c:v>759</c:v>
                </c:pt>
                <c:pt idx="9">
                  <c:v>1239</c:v>
                </c:pt>
                <c:pt idx="10">
                  <c:v>518</c:v>
                </c:pt>
                <c:pt idx="11">
                  <c:v>576</c:v>
                </c:pt>
                <c:pt idx="12">
                  <c:v>2488</c:v>
                </c:pt>
                <c:pt idx="13">
                  <c:v>966</c:v>
                </c:pt>
              </c:numCache>
            </c:numRef>
          </c:val>
          <c:extLst>
            <c:ext xmlns:c16="http://schemas.microsoft.com/office/drawing/2014/chart" uri="{C3380CC4-5D6E-409C-BE32-E72D297353CC}">
              <c16:uniqueId val="{0000001D-5676-473C-A027-9EC878137666}"/>
            </c:ext>
          </c:extLst>
        </c:ser>
        <c:dLbls>
          <c:showLegendKey val="0"/>
          <c:showVal val="0"/>
          <c:showCatName val="0"/>
          <c:showSerName val="0"/>
          <c:showPercent val="0"/>
          <c:showBubbleSize val="0"/>
        </c:dLbls>
        <c:gapWidth val="80"/>
        <c:overlap val="-30"/>
        <c:axId val="67451136"/>
        <c:axId val="66437120"/>
      </c:barChart>
      <c:catAx>
        <c:axId val="67451136"/>
        <c:scaling>
          <c:orientation val="maxMin"/>
        </c:scaling>
        <c:delete val="0"/>
        <c:axPos val="l"/>
        <c:numFmt formatCode="General" sourceLinked="1"/>
        <c:majorTickMark val="none"/>
        <c:minorTickMark val="none"/>
        <c:tickLblPos val="low"/>
        <c:spPr>
          <a:ln w="25400">
            <a:solidFill>
              <a:srgbClr val="2F2F2F"/>
            </a:solidFill>
          </a:ln>
        </c:spPr>
        <c:txPr>
          <a:bodyPr/>
          <a:lstStyle/>
          <a:p>
            <a:pPr>
              <a:defRPr sz="900" b="0" smtId="4294967295">
                <a:solidFill>
                  <a:srgbClr val="0F283E"/>
                </a:solidFill>
                <a:latin typeface="Arial" pitchFamily="34" charset="0"/>
              </a:defRPr>
            </a:pPr>
            <a:endParaRPr lang="en-US"/>
          </a:p>
        </c:txPr>
        <c:crossAx val="66437120"/>
        <c:crosses val="autoZero"/>
        <c:auto val="0"/>
        <c:lblAlgn val="ctr"/>
        <c:lblOffset val="100"/>
        <c:noMultiLvlLbl val="0"/>
      </c:catAx>
      <c:valAx>
        <c:axId val="66437120"/>
        <c:scaling>
          <c:orientation val="minMax"/>
          <c:min val="0"/>
        </c:scaling>
        <c:delete val="0"/>
        <c:axPos val="t"/>
        <c:majorGridlines>
          <c:spPr>
            <a:ln>
              <a:solidFill>
                <a:srgbClr val="2F2F2F"/>
              </a:solidFill>
              <a:prstDash val="dot"/>
            </a:ln>
          </c:spPr>
        </c:majorGridlines>
        <c:numFmt formatCode="General" sourceLinked="1"/>
        <c:majorTickMark val="none"/>
        <c:minorTickMark val="none"/>
        <c:tickLblPos val="nextTo"/>
        <c:spPr>
          <a:ln>
            <a:noFill/>
          </a:ln>
        </c:spPr>
        <c:txPr>
          <a:bodyPr/>
          <a:lstStyle/>
          <a:p>
            <a:pPr>
              <a:defRPr sz="900" b="0" smtId="4294967295">
                <a:solidFill>
                  <a:srgbClr val="0F283E"/>
                </a:solidFill>
                <a:latin typeface="Arial" pitchFamily="34" charset="0"/>
              </a:defRPr>
            </a:pPr>
            <a:endParaRPr lang="en-US"/>
          </a:p>
        </c:txPr>
        <c:crossAx val="67451136"/>
        <c:crosses val="autoZero"/>
        <c:crossBetween val="between"/>
      </c:valAx>
    </c:plotArea>
    <c:legend>
      <c:legendPos val="t"/>
      <c:overlay val="0"/>
      <c:txPr>
        <a:bodyPr/>
        <a:lstStyle/>
        <a:p>
          <a:pPr>
            <a:defRPr sz="900" smtId="4294967295">
              <a:solidFill>
                <a:srgbClr val="0F283E"/>
              </a:solidFill>
              <a:latin typeface="Arial" pitchFamily="34" charset="0"/>
            </a:defRPr>
          </a:pPr>
          <a:endParaRPr lang="en-US"/>
        </a:p>
      </c:txPr>
    </c:legend>
    <c:plotVisOnly val="1"/>
    <c:dispBlanksAs val="zero"/>
    <c:showDLblsOverMax val="1"/>
  </c:chart>
  <c:txPr>
    <a:bodyPr/>
    <a:lstStyle/>
    <a:p>
      <a:pPr>
        <a:defRPr sz="1800" smtId="4294967295"/>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Hoàng Lam</dc:creator>
  <cp:keywords/>
  <dc:description/>
  <cp:lastModifiedBy>Lê Trần Hoàng Lam</cp:lastModifiedBy>
  <cp:revision>27</cp:revision>
  <dcterms:created xsi:type="dcterms:W3CDTF">2019-11-19T23:48:00Z</dcterms:created>
  <dcterms:modified xsi:type="dcterms:W3CDTF">2019-11-21T01:41:00Z</dcterms:modified>
</cp:coreProperties>
</file>