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AD2" w:rsidRDefault="00891AD2" w:rsidP="00891AD2">
      <w:pPr>
        <w:pStyle w:val="pdq2pgselectionanchorcontainer"/>
      </w:pPr>
      <w:r>
        <w:t>Biocon has built a large and complex group structure over time. The structure now includes multiple subsidiaries, step-down subsidiaries, country-level entities, JVs and associates across the U.S., Europe, Middle East, Asia and other markets. This matters because Biocon Biologics is already a difficult business to track. Biosimilar sales are affected by rebates, chargebacks, tenders, launch timing and channel mix. A complex legal structure makes this harder. It reduces visibility on where revenue is being booked, where costs sit, and how much of reported growth is real net sales growth versus accounting, geography mix or one-off effects. The FY25 disclosure change from U.S. revenue to North America revenue is a good example. It makes the key U.S. sales trend less clean to track.</w:t>
      </w:r>
    </w:p>
    <w:p w:rsidR="00891AD2" w:rsidRDefault="00891AD2" w:rsidP="00891AD2">
      <w:pPr>
        <w:pStyle w:val="NormalWeb"/>
      </w:pPr>
      <w:r>
        <w:t xml:space="preserve">In our view, this structure also creates an execution issue. After the </w:t>
      </w:r>
      <w:proofErr w:type="spellStart"/>
      <w:r>
        <w:t>Viatris</w:t>
      </w:r>
      <w:proofErr w:type="spellEnd"/>
      <w:r>
        <w:t xml:space="preserve"> deal, Biocon chose to build a direct global commercial platform. That gave the company more control, but it also added complexity at a time when the main need was better sales execution, especially in the U.S. A simpler model, with stronger local partners in selected markets and tighter focus on pricing, contracting, accounts and formulary access, may have worked better. This is important for the thesis. Biocon’s products have gained approvals and market share, but reported sales have not scaled in line with that progress. We think part of the issue may be that management has spent too much effort building and managing the platform, while the core go-to-market engine has not been strong enough. For FY26-27, the key test is simple: can Biocon convert share gains into clean net sales growth, or does complexity continue to dilute execution?</w:t>
      </w:r>
    </w:p>
    <w:p w:rsidR="00F866E2" w:rsidRDefault="00F866E2">
      <w:pPr>
        <w:pStyle w:val="BodyText"/>
      </w:pPr>
    </w:p>
    <w:sectPr w:rsidR="00F866E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A42EB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11730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866E2"/>
    <w:rsid w:val="00176F4A"/>
    <w:rsid w:val="006412A4"/>
    <w:rsid w:val="00891AD2"/>
    <w:rsid w:val="00F86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878CA5"/>
  <w15:docId w15:val="{8271C675-7F38-1042-A272-D959F6A42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dq2pgselectionanchorcontainer">
    <w:name w:val="pdq2pg_selectionanchorcontainer"/>
    <w:basedOn w:val="Normal"/>
    <w:rsid w:val="006412A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412A4"/>
    <w:rPr>
      <w:b/>
      <w:bCs/>
    </w:rPr>
  </w:style>
  <w:style w:type="paragraph" w:styleId="NormalWeb">
    <w:name w:val="Normal (Web)"/>
    <w:basedOn w:val="Normal"/>
    <w:uiPriority w:val="99"/>
    <w:unhideWhenUsed/>
    <w:rsid w:val="006412A4"/>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412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667728">
      <w:bodyDiv w:val="1"/>
      <w:marLeft w:val="0"/>
      <w:marRight w:val="0"/>
      <w:marTop w:val="0"/>
      <w:marBottom w:val="0"/>
      <w:divBdr>
        <w:top w:val="none" w:sz="0" w:space="0" w:color="auto"/>
        <w:left w:val="none" w:sz="0" w:space="0" w:color="auto"/>
        <w:bottom w:val="none" w:sz="0" w:space="0" w:color="auto"/>
        <w:right w:val="none" w:sz="0" w:space="0" w:color="auto"/>
      </w:divBdr>
    </w:div>
    <w:div w:id="3632177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256</Words>
  <Characters>1464</Characters>
  <Application>Microsoft Office Word</Application>
  <DocSecurity>0</DocSecurity>
  <Lines>12</Lines>
  <Paragraphs>3</Paragraphs>
  <ScaleCrop>false</ScaleCrop>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Shirsh Sawarna</cp:lastModifiedBy>
  <cp:revision>4</cp:revision>
  <dcterms:created xsi:type="dcterms:W3CDTF">2026-07-01T10:39:00Z</dcterms:created>
  <dcterms:modified xsi:type="dcterms:W3CDTF">2026-07-03T05:40:00Z</dcterms:modified>
</cp:coreProperties>
</file>