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53D1" w:rsidRDefault="00F61523">
      <w:pPr>
        <w:pStyle w:val="BodyText"/>
      </w:pPr>
      <w:r>
        <w:t>We like Sun’s semaglutide positioning because the company controls more of the product value chain than a typical generic entrant. Its capabilities extend from peptide drug-substance manufacturing to sterile fill-finish and pen-device assembly, which should support better supply reliability, cost control and faster scale-up across markets such as Brazil and India. The pen format is particularly important: semaglutide is not a simple vial-and-syringe product, and device quality, dose accuracy and ease of use can materially influence physician confidence and patient adherence. Sun’s ability to offer an efficient, differentiated pen therefore provides a more defensible advantage than molecule access alone. We believe this vertically integrated model should help Sun compete more effectively on both price and availability in an increasingly crowded market, while also supporting better economics than companies dependent on outsourced peptide, fill-finish or device partners.</w:t>
      </w:r>
    </w:p>
    <w:sectPr w:rsidR="002C53D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FCAFA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55265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C53D1"/>
    <w:rsid w:val="002C53D1"/>
    <w:rsid w:val="008B378A"/>
    <w:rsid w:val="00F61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F32F37"/>
  <w15:docId w15:val="{6AFDDF29-F221-F040-8A84-B1F53AF7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dq2pgselectionanchorcontainer">
    <w:name w:val="pdq2pg_selectionanchorcontainer"/>
    <w:basedOn w:val="Normal"/>
    <w:rsid w:val="008B378A"/>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8B378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736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146</Words>
  <Characters>837</Characters>
  <Application>Microsoft Office Word</Application>
  <DocSecurity>0</DocSecurity>
  <Lines>6</Lines>
  <Paragraphs>1</Paragraphs>
  <ScaleCrop>false</ScaleCrop>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3</cp:revision>
  <dcterms:created xsi:type="dcterms:W3CDTF">1970-01-01T00:00:00Z</dcterms:created>
  <dcterms:modified xsi:type="dcterms:W3CDTF">2026-07-30T06:39:00Z</dcterms:modified>
</cp:coreProperties>
</file>