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378A" w:rsidRDefault="008B378A" w:rsidP="008B378A">
      <w:pPr>
        <w:pStyle w:val="pdq2pgselectionanchorcontainer"/>
      </w:pPr>
      <w:r>
        <w:t>Our DBMR-based analysis suggests Brazil’s GLP-1 market will nearly double from approximately US$0.6bn in CY23 to around US$1.2bn by CY30E, with semaglutide contributing most of the incremental growth as lower-priced synthetic products expand access beyond the innovator segment. We estimate the semaglutide market could reach approximately US$0.6–0.7bn by CY30E, supported by increasing diabetes and obesity penetration, wider physician adoption and meaningful price reductions following patent expiry. Sun is unusually well positioned to participate through two directly controlled products—Seemasun and Orsema—and through Semavy, which is owned and commercialised by Hypera but manufactured by Sun. This multi-product exposure should allow Sun to address different price points and commercial channels while benefiting from manufacturing scale across its broader emerging-market semaglutide platform. We estimate Sun-linked products could capture approximately 25% of Brazilian semaglutide volumes at maturity, although Sun will not recognise the full retail value of Semavy. After allowing for generic price erosion, distributor and pharmacy deductions and the lower manufacturing economics on Semavy, we see a potential annual revenue contribution of approximately US$100–150mn for Sun. Achievement of this range will depend on launch timing, CMED pricing, pen availability, physician conversion and whether Sun secures broader obesity indications.</w:t>
      </w:r>
    </w:p>
    <w:p w:rsidR="008B378A" w:rsidRDefault="008B378A" w:rsidP="008B378A">
      <w:pPr>
        <w:pStyle w:val="NormalWeb"/>
      </w:pPr>
      <w:r>
        <w:t>Sun’s partnership with Hypera also reflects a commercially sensible response to Brazil’s fragmented route-to-market structure. Our channel analysis indicates that third-party distributors and company-owned sales forces together account for approximately 60–65% of the GLP-1 market and should remain the two most important channels through CY30E, ahead of B2B contracts and direct tenders. Sun can participate through both: Seemasun and Orsema provide direct control over pricing, promotion and customer relationships through its own Brazilian infrastructure, while Semavy gives it access to Hypera’s established Mantecorp franchise, physician reach and pharmacy distribution without requiring Sun to build the full commercial platform independently. This should improve speed to market and reduce execution risk, particularly as EMS, Novo Nordisk, Sandoz and other entrants compete aggressively for prescriptions and shelf availability. The key limitation is that Hypera retains the branded commercial economics on Semavy, leaving Sun primarily with supply revenue; however, the arrangement broadens Sun’s volume exposure and improves utilisation of its semaglutide manufacturing base. We therefore see the combination of owned brands and third-party supply as supporting a credible path to approximately 25% volume share and US$100–150mn of sales, subject to competitive pricing and consistent product availability.</w:t>
      </w:r>
    </w:p>
    <w:p w:rsidR="002C53D1" w:rsidRDefault="002C53D1">
      <w:pPr>
        <w:pStyle w:val="BodyText"/>
      </w:pPr>
    </w:p>
    <w:sectPr w:rsidR="002C53D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FCAFA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55265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53D1"/>
    <w:rsid w:val="002C53D1"/>
    <w:rsid w:val="008B3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014B73"/>
  <w15:docId w15:val="{6AFDDF29-F221-F040-8A84-B1F53AF7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8B378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8B378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736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2</cp:revision>
  <dcterms:created xsi:type="dcterms:W3CDTF">1970-01-01T00:00:00Z</dcterms:created>
  <dcterms:modified xsi:type="dcterms:W3CDTF">2026-07-30T06:29:00Z</dcterms:modified>
</cp:coreProperties>
</file>