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85917" w:rsidRDefault="00E85917" w:rsidP="00E85917">
      <w:pPr>
        <w:pStyle w:val="NormalWeb"/>
      </w:pPr>
      <w:r>
        <w:t>Abatacept is the molecule behind Bristol Myers Squibb’s Orencia, a selective T-cell co-stimulation modulator used primarily in rheumatoid arthritis, psoriatic arthritis and polyarticular juvenile idiopathic arthritis; mechanistically, it blocks the CD80/CD86–CD28 activation signal required for full T-cell activation, which makes it a differentiated immunology biologic rather than a simple anti-TNF lookalike. Orencia is a sizeable but mature biologic franchise, with BMS reporting CY25 worldwide sales of US$3.7bn, including US$2.7bn from the US, and only ~1% reported global growth; this makes it an attractive biosimilar pool because the originator revenue base is large, but not a structurally high-growth pool where BMS can rely on market expansion to offset price erosion. Dr. Reddy’s DRL_AB is a proposed interchangeable biosimilar to Orencia IV; the company submitted the 351(k) BLA in Dec-25, FDA accepted it for review in Feb-26, and Dr. Reddy’s claims it is the first company to submit an abatacept biosimilar BLA. For Dr. Reddy’s, this is not a small filing: an early-wave interchangeable biosimilar into a US$3.7bn biologic could be genuinely needle-moving for its US growth bridge, particularly as the Revlimid profit pool normalizes and the company needs complex generics / biosimilars to carry the next leg of US earnings.</w:t>
      </w:r>
    </w:p>
    <w:p w:rsidR="00E85917" w:rsidRDefault="00E85917" w:rsidP="00E85917">
      <w:pPr>
        <w:pStyle w:val="NormalWeb"/>
      </w:pPr>
      <w:r>
        <w:t>Our view is constructive on the strategic value but mildly bearish on clean approval timing, because the key risk has shifted from clinical comparability to CMC and site clearance. The live gating item is Bachupally, Hyderabad, where management has indicated an FDA inspection is still awaited for abatacept; this matters because the same biologics site received a Form 483 after a Sept-25 FDA inspection, with observations around environmental monitoring data controls, document control, aseptic execution, viral cross-contamination risk assessment and smoke-study / manufacturing documentation. These are not cosmetic observations for a sterile biologic BLA; they go directly to FDA’s confidence in whether the submitted commercial process can be reproduced reliably and aseptically. Management has tried to ring-fence the issue by noting that abatacept is on different lines from the earlier rituximab-related concern, which reduces but does not eliminate read-across risk, because FDA still assesses the quality system and inspection readiness of the broader biologics site. Therefore, we would not underwrite DRL_AB as a fully de-risked FY27 launch yet: the asset remains high-value optionality and could be a credibility-resetting biosimilar win for Dr. Reddy’s, but until Bachupally clears FDA scrutiny, the stock debate should treat abatacept as a manufacturing-clearance trade rather than a pure pipeline approval trade.</w:t>
      </w:r>
    </w:p>
    <w:p w:rsidR="00C07702" w:rsidRDefault="00C07702">
      <w:pPr>
        <w:pStyle w:val="BodyText"/>
      </w:pPr>
    </w:p>
    <w:sectPr w:rsidR="00C0770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A3580C1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4000572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C07702"/>
    <w:rsid w:val="00034D2B"/>
    <w:rsid w:val="00771CC1"/>
    <w:rsid w:val="008965E7"/>
    <w:rsid w:val="00BC3E13"/>
    <w:rsid w:val="00C07702"/>
    <w:rsid w:val="00E859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57CE03CF-6A37-954E-82EA-9FD20800B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771CC1"/>
    <w:pPr>
      <w:spacing w:before="100" w:beforeAutospacing="1" w:after="100" w:afterAutospacing="1"/>
    </w:pPr>
    <w:rPr>
      <w:rFonts w:ascii="Times New Roman" w:eastAsia="Times New Roman" w:hAnsi="Times New Roman" w:cs="Times New Roman"/>
    </w:rPr>
  </w:style>
  <w:style w:type="paragraph" w:customStyle="1" w:styleId="isselectedend">
    <w:name w:val="isselectedend"/>
    <w:basedOn w:val="Normal"/>
    <w:rsid w:val="00034D2B"/>
    <w:pPr>
      <w:spacing w:before="100" w:beforeAutospacing="1" w:after="100" w:afterAutospacing="1"/>
    </w:pPr>
    <w:rPr>
      <w:rFonts w:ascii="Times New Roman" w:eastAsia="Times New Roman" w:hAnsi="Times New Roman" w:cs="Times New Roman"/>
    </w:rPr>
  </w:style>
  <w:style w:type="character" w:customStyle="1" w:styleId="text-token-text-primary">
    <w:name w:val="text-token-text-primary"/>
    <w:basedOn w:val="DefaultParagraphFont"/>
    <w:rsid w:val="00034D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7914269">
      <w:bodyDiv w:val="1"/>
      <w:marLeft w:val="0"/>
      <w:marRight w:val="0"/>
      <w:marTop w:val="0"/>
      <w:marBottom w:val="0"/>
      <w:divBdr>
        <w:top w:val="none" w:sz="0" w:space="0" w:color="auto"/>
        <w:left w:val="none" w:sz="0" w:space="0" w:color="auto"/>
        <w:bottom w:val="none" w:sz="0" w:space="0" w:color="auto"/>
        <w:right w:val="none" w:sz="0" w:space="0" w:color="auto"/>
      </w:divBdr>
    </w:div>
    <w:div w:id="570232031">
      <w:bodyDiv w:val="1"/>
      <w:marLeft w:val="0"/>
      <w:marRight w:val="0"/>
      <w:marTop w:val="0"/>
      <w:marBottom w:val="0"/>
      <w:divBdr>
        <w:top w:val="none" w:sz="0" w:space="0" w:color="auto"/>
        <w:left w:val="none" w:sz="0" w:space="0" w:color="auto"/>
        <w:bottom w:val="none" w:sz="0" w:space="0" w:color="auto"/>
        <w:right w:val="none" w:sz="0" w:space="0" w:color="auto"/>
      </w:divBdr>
    </w:div>
    <w:div w:id="718744601">
      <w:bodyDiv w:val="1"/>
      <w:marLeft w:val="0"/>
      <w:marRight w:val="0"/>
      <w:marTop w:val="0"/>
      <w:marBottom w:val="0"/>
      <w:divBdr>
        <w:top w:val="none" w:sz="0" w:space="0" w:color="auto"/>
        <w:left w:val="none" w:sz="0" w:space="0" w:color="auto"/>
        <w:bottom w:val="none" w:sz="0" w:space="0" w:color="auto"/>
        <w:right w:val="none" w:sz="0" w:space="0" w:color="auto"/>
      </w:divBdr>
    </w:div>
    <w:div w:id="183009996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413</Words>
  <Characters>2359</Characters>
  <Application>Microsoft Office Word</Application>
  <DocSecurity>0</DocSecurity>
  <Lines>19</Lines>
  <Paragraphs>5</Paragraphs>
  <ScaleCrop>false</ScaleCrop>
  <Company/>
  <LinksUpToDate>false</LinksUpToDate>
  <CharactersWithSpaces>2767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Shirsh Sawarna</cp:lastModifiedBy>
  <cp:revision>6</cp:revision>
  <dcterms:created xsi:type="dcterms:W3CDTF">2026-06-16T04:07:00Z</dcterms:created>
  <dcterms:modified xsi:type="dcterms:W3CDTF">2026-06-17T08:21:00Z</dcterms:modified>
</cp:coreProperties>
</file>