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B438B" w:rsidRDefault="006B438B" w:rsidP="006B438B">
      <w:pPr>
        <w:pStyle w:val="pdq2pgselectionanchorcontainer"/>
      </w:pPr>
      <w:r>
        <w:t xml:space="preserve">DRL has disclosed an out-of-specification issue in certain </w:t>
      </w:r>
      <w:proofErr w:type="spellStart"/>
      <w:r>
        <w:t>semaglutide</w:t>
      </w:r>
      <w:proofErr w:type="spellEnd"/>
      <w:r>
        <w:t xml:space="preserve"> batches, traced to the API, and has therefore delayed commercial supplies while root-cause investigation is underway. The company has said patient safety is not impacted and existing regulatory filings remain unchanged, but the commercial implication is still meaningful: this pushes out the sales ramp in India/Canada and weakens DRL’s ability to convert early generic approval into share before the market gets crowded. It also raises execution risk around any partner/customer supply commitments, while competitors such as </w:t>
      </w:r>
      <w:proofErr w:type="spellStart"/>
      <w:r>
        <w:t>Apotex</w:t>
      </w:r>
      <w:proofErr w:type="spellEnd"/>
      <w:r>
        <w:t xml:space="preserve"> and Sandoz get a cleaner window to build prescriber, channel and payer traction in Canada. In our view, the issue does not derail </w:t>
      </w:r>
      <w:proofErr w:type="spellStart"/>
      <w:r>
        <w:t>semaglutide</w:t>
      </w:r>
      <w:proofErr w:type="spellEnd"/>
      <w:r>
        <w:t xml:space="preserve"> as an asset, but it does reduce confidence in the timing and reliability of DRL’s GLP-1 </w:t>
      </w:r>
      <w:proofErr w:type="spellStart"/>
      <w:r>
        <w:t>monetisation</w:t>
      </w:r>
      <w:proofErr w:type="spellEnd"/>
      <w:r>
        <w:t xml:space="preserve">. </w:t>
      </w:r>
    </w:p>
    <w:p w:rsidR="006B438B" w:rsidRDefault="006B438B" w:rsidP="006B438B">
      <w:pPr>
        <w:pStyle w:val="NormalWeb"/>
      </w:pPr>
      <w:r>
        <w:t xml:space="preserve">This is consistent with the quality-culture concern we have been flagging on DRL. In our initiation and more recently in abatacept, our concern was not limited to one product; it was that DRL’s complex pipeline is increasingly exposed to site quality, process validation and remediation discipline. The abatacept case was a clear example: despite the attractive commercial opportunity, approval risk shifted from the molecule to </w:t>
      </w:r>
      <w:proofErr w:type="spellStart"/>
      <w:r>
        <w:t>Bachupally</w:t>
      </w:r>
      <w:proofErr w:type="spellEnd"/>
      <w:r>
        <w:t xml:space="preserve"> site clearance after FDA observations around environmental monitoring, aseptic execution, documentation/CAPA and contamination-control governance. </w:t>
      </w:r>
      <w:proofErr w:type="spellStart"/>
      <w:r>
        <w:t>Semaglutide</w:t>
      </w:r>
      <w:proofErr w:type="spellEnd"/>
      <w:r>
        <w:t xml:space="preserve"> now extends the same debate into complex peptides/API control. The pattern is that DRL often has attractive assets, but the market needs to apply a higher timing and execution discount until quality systems prove they can support complex product launches at scale.</w:t>
      </w:r>
    </w:p>
    <w:p w:rsidR="007B788F" w:rsidRDefault="007B788F"/>
    <w:sectPr w:rsidR="007B7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38B"/>
    <w:rsid w:val="006B438B"/>
    <w:rsid w:val="007B788F"/>
    <w:rsid w:val="00986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C521194-1499-3048-8B74-EEA9EBA3C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6B438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B438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0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Shirsh Sawarna</dc:creator>
  <cp:keywords/>
  <dc:description/>
  <cp:lastModifiedBy>Shirsh Sawarna</cp:lastModifiedBy>
  <cp:revision>1</cp:revision>
  <dcterms:created xsi:type="dcterms:W3CDTF">2026-07-09T06:17:00Z</dcterms:created>
  <dcterms:modified xsi:type="dcterms:W3CDTF">2026-07-09T06:17:00Z</dcterms:modified>
</cp:coreProperties>
</file>