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rPr/>
      </w:pPr>
      <w:r>
        <w:rPr/>
        <w:t>Samara Capital interview: Indian healthcare services and CDMOs</w:t>
      </w:r>
    </w:p>
    <w:p>
      <w:pPr>
        <w:pStyle w:val="BodyText"/>
        <w:bidi w:val="0"/>
        <w:rPr/>
      </w:pPr>
      <w:r>
        <w:rPr>
          <w:b/>
        </w:rPr>
        <w:t>Prepared 23 September 2026.</w:t>
      </w:r>
      <w:r>
        <w:rPr/>
        <w:t xml:space="preserve"> Focus: listed Indian equities. Interviewer context: Samara Capital's </w:t>
      </w:r>
      <w:hyperlink r:id="rId2">
        <w:r>
          <w:rPr>
            <w:rStyle w:val="Hyperlink"/>
          </w:rPr>
          <w:t>team page</w:t>
        </w:r>
      </w:hyperlink>
      <w:r>
        <w:rPr/>
        <w:t xml:space="preserve"> identifies Manish Mehta as managing director and co-CIO, with previous involvement in Thyrocare and Asian Institute of Gastroenterology. Frame answers as an owner: what does a unit cost, who pays, who refers demand, how soon does it reach cash break-even, and how durable is the return when a contract renews or a doctor leaves?</w:t>
      </w:r>
    </w:p>
    <w:p>
      <w:pPr>
        <w:pStyle w:val="Heading2"/>
        <w:bidi w:val="0"/>
        <w:ind w:hanging="0" w:start="0"/>
        <w:rPr/>
      </w:pPr>
      <w:r>
        <w:rPr/>
        <w:t>The 90-second map</w:t>
      </w:r>
    </w:p>
    <w:tbl>
      <w:tblPr>
        <w:tblW w:w="5000" w:type="pct"/>
        <w:jc w:val="start"/>
        <w:tblInd w:w="-5" w:type="dxa"/>
        <w:tblLayout w:type="fixed"/>
        <w:tblCellMar>
          <w:top w:w="55" w:type="dxa"/>
          <w:start w:w="55" w:type="dxa"/>
          <w:bottom w:w="55" w:type="dxa"/>
          <w:end w:w="55" w:type="dxa"/>
        </w:tblCellMar>
      </w:tblPr>
      <w:tblGrid>
        <w:gridCol w:w="1927"/>
        <w:gridCol w:w="1928"/>
        <w:gridCol w:w="1927"/>
        <w:gridCol w:w="1928"/>
        <w:gridCol w:w="1928"/>
      </w:tblGrid>
      <w:tr>
        <w:trPr>
          <w:tblHeader w:val="true"/>
        </w:trPr>
        <w:tc>
          <w:tcPr>
            <w:tcW w:w="1927" w:type="dxa"/>
            <w:tcBorders>
              <w:top w:val="single" w:sz="4" w:space="0" w:color="000000"/>
              <w:start w:val="single" w:sz="4" w:space="0" w:color="000000"/>
              <w:bottom w:val="single" w:sz="4" w:space="0" w:color="000000"/>
            </w:tcBorders>
          </w:tcPr>
          <w:p>
            <w:pPr>
              <w:pStyle w:val="TableHeading"/>
              <w:bidi w:val="0"/>
              <w:jc w:val="start"/>
              <w:rPr/>
            </w:pPr>
            <w:r>
              <w:rPr/>
              <w:t>Business</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Unit sold</w:t>
            </w:r>
          </w:p>
        </w:tc>
        <w:tc>
          <w:tcPr>
            <w:tcW w:w="1927" w:type="dxa"/>
            <w:tcBorders>
              <w:top w:val="single" w:sz="4" w:space="0" w:color="000000"/>
              <w:start w:val="single" w:sz="4" w:space="0" w:color="000000"/>
              <w:bottom w:val="single" w:sz="4" w:space="0" w:color="000000"/>
            </w:tcBorders>
          </w:tcPr>
          <w:p>
            <w:pPr>
              <w:pStyle w:val="TableHeading"/>
              <w:bidi w:val="0"/>
              <w:jc w:val="start"/>
              <w:rPr/>
            </w:pPr>
            <w:r>
              <w:rPr/>
              <w:t>Demand control</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Fixed investment</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Core underwriting question</w:t>
            </w:r>
          </w:p>
        </w:tc>
      </w:tr>
      <w:tr>
        <w:trPr/>
        <w:tc>
          <w:tcPr>
            <w:tcW w:w="1927" w:type="dxa"/>
            <w:tcBorders>
              <w:start w:val="single" w:sz="4" w:space="0" w:color="000000"/>
              <w:bottom w:val="single" w:sz="4" w:space="0" w:color="000000"/>
            </w:tcBorders>
          </w:tcPr>
          <w:p>
            <w:pPr>
              <w:pStyle w:val="TableContents"/>
              <w:bidi w:val="0"/>
              <w:jc w:val="start"/>
              <w:rPr/>
            </w:pPr>
            <w:r>
              <w:rPr/>
              <w:t>CDMO</w:t>
            </w:r>
          </w:p>
        </w:tc>
        <w:tc>
          <w:tcPr>
            <w:tcW w:w="1928" w:type="dxa"/>
            <w:tcBorders>
              <w:start w:val="single" w:sz="4" w:space="0" w:color="000000"/>
              <w:bottom w:val="single" w:sz="4" w:space="0" w:color="000000"/>
            </w:tcBorders>
          </w:tcPr>
          <w:p>
            <w:pPr>
              <w:pStyle w:val="TableContents"/>
              <w:bidi w:val="0"/>
              <w:jc w:val="start"/>
              <w:rPr/>
            </w:pPr>
            <w:r>
              <w:rPr/>
              <w:t>Research hours, development milestones, clinical and commercial batches</w:t>
            </w:r>
          </w:p>
        </w:tc>
        <w:tc>
          <w:tcPr>
            <w:tcW w:w="1927" w:type="dxa"/>
            <w:tcBorders>
              <w:start w:val="single" w:sz="4" w:space="0" w:color="000000"/>
              <w:bottom w:val="single" w:sz="4" w:space="0" w:color="000000"/>
            </w:tcBorders>
          </w:tcPr>
          <w:p>
            <w:pPr>
              <w:pStyle w:val="TableContents"/>
              <w:bidi w:val="0"/>
              <w:jc w:val="start"/>
              <w:rPr/>
            </w:pPr>
            <w:r>
              <w:rPr/>
              <w:t>Innovator's pipeline and procurement</w:t>
            </w:r>
          </w:p>
        </w:tc>
        <w:tc>
          <w:tcPr>
            <w:tcW w:w="1928" w:type="dxa"/>
            <w:tcBorders>
              <w:start w:val="single" w:sz="4" w:space="0" w:color="000000"/>
              <w:bottom w:val="single" w:sz="4" w:space="0" w:color="000000"/>
            </w:tcBorders>
          </w:tcPr>
          <w:p>
            <w:pPr>
              <w:pStyle w:val="TableContents"/>
              <w:bidi w:val="0"/>
              <w:jc w:val="start"/>
              <w:rPr/>
            </w:pPr>
            <w:r>
              <w:rPr/>
              <w:t>Scientists, qualification, regulated plants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Does a molecule progress into repeat commercial supply at an adequate return on the capacity built?</w:t>
            </w:r>
          </w:p>
        </w:tc>
      </w:tr>
      <w:tr>
        <w:trPr/>
        <w:tc>
          <w:tcPr>
            <w:tcW w:w="1927" w:type="dxa"/>
            <w:tcBorders>
              <w:start w:val="single" w:sz="4" w:space="0" w:color="000000"/>
              <w:bottom w:val="single" w:sz="4" w:space="0" w:color="000000"/>
            </w:tcBorders>
          </w:tcPr>
          <w:p>
            <w:pPr>
              <w:pStyle w:val="TableContents"/>
              <w:bidi w:val="0"/>
              <w:jc w:val="start"/>
              <w:rPr/>
            </w:pPr>
            <w:r>
              <w:rPr/>
              <w:t>Pathology</w:t>
            </w:r>
          </w:p>
        </w:tc>
        <w:tc>
          <w:tcPr>
            <w:tcW w:w="1928" w:type="dxa"/>
            <w:tcBorders>
              <w:start w:val="single" w:sz="4" w:space="0" w:color="000000"/>
              <w:bottom w:val="single" w:sz="4" w:space="0" w:color="000000"/>
            </w:tcBorders>
          </w:tcPr>
          <w:p>
            <w:pPr>
              <w:pStyle w:val="TableContents"/>
              <w:bidi w:val="0"/>
              <w:jc w:val="start"/>
              <w:rPr/>
            </w:pPr>
            <w:r>
              <w:rPr/>
              <w:t>Test/sample, often sold as a package</w:t>
            </w:r>
          </w:p>
        </w:tc>
        <w:tc>
          <w:tcPr>
            <w:tcW w:w="1927" w:type="dxa"/>
            <w:tcBorders>
              <w:start w:val="single" w:sz="4" w:space="0" w:color="000000"/>
              <w:bottom w:val="single" w:sz="4" w:space="0" w:color="000000"/>
            </w:tcBorders>
          </w:tcPr>
          <w:p>
            <w:pPr>
              <w:pStyle w:val="TableContents"/>
              <w:bidi w:val="0"/>
              <w:jc w:val="start"/>
              <w:rPr/>
            </w:pPr>
            <w:r>
              <w:rPr/>
              <w:t>Doctors, collection franchise, consumers, hospitals</w:t>
            </w:r>
          </w:p>
        </w:tc>
        <w:tc>
          <w:tcPr>
            <w:tcW w:w="1928" w:type="dxa"/>
            <w:tcBorders>
              <w:start w:val="single" w:sz="4" w:space="0" w:color="000000"/>
              <w:bottom w:val="single" w:sz="4" w:space="0" w:color="000000"/>
            </w:tcBorders>
          </w:tcPr>
          <w:p>
            <w:pPr>
              <w:pStyle w:val="TableContents"/>
              <w:bidi w:val="0"/>
              <w:jc w:val="start"/>
              <w:rPr/>
            </w:pPr>
            <w:r>
              <w:rPr/>
              <w:t>Hub lab and logistics, relatively little at each collection point</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Can the network add samples without giving away realization to distributors or aggregators?</w:t>
            </w:r>
          </w:p>
        </w:tc>
      </w:tr>
      <w:tr>
        <w:trPr/>
        <w:tc>
          <w:tcPr>
            <w:tcW w:w="1927" w:type="dxa"/>
            <w:tcBorders>
              <w:start w:val="single" w:sz="4" w:space="0" w:color="000000"/>
              <w:bottom w:val="single" w:sz="4" w:space="0" w:color="000000"/>
            </w:tcBorders>
          </w:tcPr>
          <w:p>
            <w:pPr>
              <w:pStyle w:val="TableContents"/>
              <w:bidi w:val="0"/>
              <w:jc w:val="start"/>
              <w:rPr/>
            </w:pPr>
            <w:r>
              <w:rPr/>
              <w:t>Radiology</w:t>
            </w:r>
          </w:p>
        </w:tc>
        <w:tc>
          <w:tcPr>
            <w:tcW w:w="1928" w:type="dxa"/>
            <w:tcBorders>
              <w:start w:val="single" w:sz="4" w:space="0" w:color="000000"/>
              <w:bottom w:val="single" w:sz="4" w:space="0" w:color="000000"/>
            </w:tcBorders>
          </w:tcPr>
          <w:p>
            <w:pPr>
              <w:pStyle w:val="TableContents"/>
              <w:bidi w:val="0"/>
              <w:jc w:val="start"/>
              <w:rPr/>
            </w:pPr>
            <w:r>
              <w:rPr/>
              <w:t>Scan</w:t>
            </w:r>
          </w:p>
        </w:tc>
        <w:tc>
          <w:tcPr>
            <w:tcW w:w="1927" w:type="dxa"/>
            <w:tcBorders>
              <w:start w:val="single" w:sz="4" w:space="0" w:color="000000"/>
              <w:bottom w:val="single" w:sz="4" w:space="0" w:color="000000"/>
            </w:tcBorders>
          </w:tcPr>
          <w:p>
            <w:pPr>
              <w:pStyle w:val="TableContents"/>
              <w:bidi w:val="0"/>
              <w:jc w:val="start"/>
              <w:rPr/>
            </w:pPr>
            <w:r>
              <w:rPr/>
              <w:t>Referring doctors, hospital footfall</w:t>
            </w:r>
          </w:p>
        </w:tc>
        <w:tc>
          <w:tcPr>
            <w:tcW w:w="1928" w:type="dxa"/>
            <w:tcBorders>
              <w:start w:val="single" w:sz="4" w:space="0" w:color="000000"/>
              <w:bottom w:val="single" w:sz="4" w:space="0" w:color="000000"/>
            </w:tcBorders>
          </w:tcPr>
          <w:p>
            <w:pPr>
              <w:pStyle w:val="TableContents"/>
              <w:bidi w:val="0"/>
              <w:jc w:val="start"/>
              <w:rPr/>
            </w:pPr>
            <w:r>
              <w:rPr/>
              <w:t>CT/MRI/PET equipment and radiologists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Will scans per machine cover fixed costs and replacement capex?</w:t>
            </w:r>
          </w:p>
        </w:tc>
      </w:tr>
      <w:tr>
        <w:trPr/>
        <w:tc>
          <w:tcPr>
            <w:tcW w:w="1927" w:type="dxa"/>
            <w:tcBorders>
              <w:start w:val="single" w:sz="4" w:space="0" w:color="000000"/>
              <w:bottom w:val="single" w:sz="4" w:space="0" w:color="000000"/>
            </w:tcBorders>
          </w:tcPr>
          <w:p>
            <w:pPr>
              <w:pStyle w:val="TableContents"/>
              <w:bidi w:val="0"/>
              <w:jc w:val="start"/>
              <w:rPr/>
            </w:pPr>
            <w:r>
              <w:rPr/>
              <w:t>Hospital</w:t>
            </w:r>
          </w:p>
        </w:tc>
        <w:tc>
          <w:tcPr>
            <w:tcW w:w="1928" w:type="dxa"/>
            <w:tcBorders>
              <w:start w:val="single" w:sz="4" w:space="0" w:color="000000"/>
              <w:bottom w:val="single" w:sz="4" w:space="0" w:color="000000"/>
            </w:tcBorders>
          </w:tcPr>
          <w:p>
            <w:pPr>
              <w:pStyle w:val="TableContents"/>
              <w:bidi w:val="0"/>
              <w:jc w:val="start"/>
              <w:rPr/>
            </w:pPr>
            <w:r>
              <w:rPr/>
              <w:t>Inpatient case and outpatient visit</w:t>
            </w:r>
          </w:p>
        </w:tc>
        <w:tc>
          <w:tcPr>
            <w:tcW w:w="1927" w:type="dxa"/>
            <w:tcBorders>
              <w:start w:val="single" w:sz="4" w:space="0" w:color="000000"/>
              <w:bottom w:val="single" w:sz="4" w:space="0" w:color="000000"/>
            </w:tcBorders>
          </w:tcPr>
          <w:p>
            <w:pPr>
              <w:pStyle w:val="TableContents"/>
              <w:bidi w:val="0"/>
              <w:jc w:val="start"/>
              <w:rPr/>
            </w:pPr>
            <w:r>
              <w:rPr/>
              <w:t>Doctors, referral network, insurer access</w:t>
            </w:r>
          </w:p>
        </w:tc>
        <w:tc>
          <w:tcPr>
            <w:tcW w:w="1928" w:type="dxa"/>
            <w:tcBorders>
              <w:start w:val="single" w:sz="4" w:space="0" w:color="000000"/>
              <w:bottom w:val="single" w:sz="4" w:space="0" w:color="000000"/>
            </w:tcBorders>
          </w:tcPr>
          <w:p>
            <w:pPr>
              <w:pStyle w:val="TableContents"/>
              <w:bidi w:val="0"/>
              <w:jc w:val="start"/>
              <w:rPr/>
            </w:pPr>
            <w:r>
              <w:rPr/>
              <w:t>Beds, operating theatres, ICU, equipment, brand</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Can a hospital attract the right case mix at sustainable tariffs while filling new beds?</w:t>
            </w:r>
          </w:p>
        </w:tc>
      </w:tr>
      <w:tr>
        <w:trPr/>
        <w:tc>
          <w:tcPr>
            <w:tcW w:w="1927" w:type="dxa"/>
            <w:tcBorders>
              <w:start w:val="single" w:sz="4" w:space="0" w:color="000000"/>
              <w:bottom w:val="single" w:sz="4" w:space="0" w:color="000000"/>
            </w:tcBorders>
          </w:tcPr>
          <w:p>
            <w:pPr>
              <w:pStyle w:val="TableContents"/>
              <w:bidi w:val="0"/>
              <w:jc w:val="start"/>
              <w:rPr/>
            </w:pPr>
            <w:r>
              <w:rPr/>
              <w:t>Dialysis chain</w:t>
            </w:r>
          </w:p>
        </w:tc>
        <w:tc>
          <w:tcPr>
            <w:tcW w:w="1928" w:type="dxa"/>
            <w:tcBorders>
              <w:start w:val="single" w:sz="4" w:space="0" w:color="000000"/>
              <w:bottom w:val="single" w:sz="4" w:space="0" w:color="000000"/>
            </w:tcBorders>
          </w:tcPr>
          <w:p>
            <w:pPr>
              <w:pStyle w:val="TableContents"/>
              <w:bidi w:val="0"/>
              <w:jc w:val="start"/>
              <w:rPr/>
            </w:pPr>
            <w:r>
              <w:rPr/>
              <w:t>Recurring treatment session</w:t>
            </w:r>
          </w:p>
        </w:tc>
        <w:tc>
          <w:tcPr>
            <w:tcW w:w="1927" w:type="dxa"/>
            <w:tcBorders>
              <w:start w:val="single" w:sz="4" w:space="0" w:color="000000"/>
              <w:bottom w:val="single" w:sz="4" w:space="0" w:color="000000"/>
            </w:tcBorders>
          </w:tcPr>
          <w:p>
            <w:pPr>
              <w:pStyle w:val="TableContents"/>
              <w:bidi w:val="0"/>
              <w:jc w:val="start"/>
              <w:rPr/>
            </w:pPr>
            <w:r>
              <w:rPr/>
              <w:t>Nephrologist referral, hospital partner, government payer, patient convenience</w:t>
            </w:r>
          </w:p>
        </w:tc>
        <w:tc>
          <w:tcPr>
            <w:tcW w:w="1928" w:type="dxa"/>
            <w:tcBorders>
              <w:start w:val="single" w:sz="4" w:space="0" w:color="000000"/>
              <w:bottom w:val="single" w:sz="4" w:space="0" w:color="000000"/>
            </w:tcBorders>
          </w:tcPr>
          <w:p>
            <w:pPr>
              <w:pStyle w:val="TableContents"/>
              <w:bidi w:val="0"/>
              <w:jc w:val="start"/>
              <w:rPr/>
            </w:pPr>
            <w:r>
              <w:rPr/>
              <w:t>Machines, water treatment, consumables, nurses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Are session density and collection economics improving without compromising clinical quality?</w:t>
            </w:r>
          </w:p>
        </w:tc>
      </w:tr>
    </w:tbl>
    <w:p>
      <w:pPr>
        <w:pStyle w:val="BodyText"/>
        <w:bidi w:val="0"/>
        <w:rPr/>
      </w:pPr>
      <w:r>
        <w:rPr/>
      </w:r>
    </w:p>
    <w:p>
      <w:pPr>
        <w:pStyle w:val="BodyText"/>
        <w:bidi w:val="0"/>
        <w:rPr/>
      </w:pPr>
      <w:r>
        <w:rPr>
          <w:b/>
        </w:rPr>
        <w:t>Cross-sector discipline:</w:t>
      </w:r>
      <w:r>
        <w:rPr/>
        <w:t xml:space="preserve"> Start with </w:t>
      </w:r>
      <w:r>
        <w:rPr>
          <w:rFonts w:ascii="Liberation Mono" w:hAnsi="Liberation Mono"/>
        </w:rPr>
        <w:t>revenue = paying units × realized price</w:t>
      </w:r>
      <w:r>
        <w:rPr/>
        <w:t xml:space="preserve">. Reconcile volume, price, mix, acquisition and FX. Then deduct </w:t>
      </w:r>
      <w:r>
        <w:rPr>
          <w:i/>
        </w:rPr>
        <w:t>avoidable</w:t>
      </w:r>
      <w:r>
        <w:rPr/>
        <w:t xml:space="preserve"> costs at the unit, </w:t>
      </w:r>
      <w:r>
        <w:rPr>
          <w:i/>
        </w:rPr>
        <w:t>fixed</w:t>
      </w:r>
      <w:r>
        <w:rPr/>
        <w:t xml:space="preserve"> costs at the site, head-office costs, maintenance investment and incremental working capital. Reported EBITDA is only a midpoint.</w:t>
      </w:r>
    </w:p>
    <w:p>
      <w:pPr>
        <w:pStyle w:val="Heading2"/>
        <w:bidi w:val="0"/>
        <w:ind w:hanging="0" w:start="0"/>
        <w:rPr/>
      </w:pPr>
      <w:r>
        <w:rPr/>
        <w:t>1. CDMOs: follow the customer's molecule</w:t>
      </w:r>
    </w:p>
    <w:p>
      <w:pPr>
        <w:pStyle w:val="Heading3"/>
        <w:bidi w:val="0"/>
        <w:ind w:hanging="0" w:start="0"/>
        <w:rPr/>
      </w:pPr>
      <w:r>
        <w:rPr/>
        <w:t>What the contractor actually does</w:t>
      </w:r>
    </w:p>
    <w:p>
      <w:pPr>
        <w:pStyle w:val="BodyText"/>
        <w:bidi w:val="0"/>
        <w:rPr/>
      </w:pPr>
      <w:r>
        <w:rPr/>
        <w:t>An innovator identifies a drug candidate. A discovery CRO may help design and test compounds; a development organization works out a reproducible process, analytical methods, stability and clinical supply; a manufacturer validates the process and supplies commercial API or finished dosage. A contract research, development and manufacturing organization (CRDMO) can do several stages. An API maker selling an off-patent molecule to multiple customers is a different business even if it owns the same type of reactor. Likewise, a specialty ingredient or nutraceutical line should not automatically receive a CDMO multiple.</w:t>
      </w:r>
    </w:p>
    <w:p>
      <w:pPr>
        <w:pStyle w:val="BodyText"/>
        <w:bidi w:val="0"/>
        <w:rPr/>
      </w:pPr>
      <w:r>
        <w:rPr/>
        <w:t xml:space="preserve">There are four common revenue forms: (1) fee-for-service, generally hours or projects; (2) full-time-equivalent scientists dedicated under contract, where utilization and renewal matter; (3) development and clinical batches, with stage-gate risk; and (4) commercial manufacturing, sold as batches, kilograms or doses, where quality qualification, minimum purchase commitments and plant loading matter. Some contracts contain milestone or customer-funded capacity economics. A development win creates a </w:t>
      </w:r>
      <w:r>
        <w:rPr>
          <w:i/>
        </w:rPr>
        <w:t>possibility</w:t>
      </w:r>
      <w:r>
        <w:rPr/>
        <w:t xml:space="preserve"> of commercial supply, not a booked annuity: clinical failure, process transfer or customer insourcing can stop it.</w:t>
      </w:r>
    </w:p>
    <w:p>
      <w:pPr>
        <w:pStyle w:val="BodyText"/>
        <w:bidi w:val="0"/>
        <w:rPr/>
      </w:pPr>
      <w:r>
        <w:rPr>
          <w:b/>
        </w:rPr>
        <w:t>The first-principles margin bridge:</w:t>
      </w:r>
      <w:r>
        <w:rPr/>
        <w:t xml:space="preserve"> </w:t>
      </w:r>
      <w:r>
        <w:rPr>
          <w:rFonts w:ascii="Liberation Mono" w:hAnsi="Liberation Mono"/>
        </w:rPr>
        <w:t>sale price per batch − materials − direct labor − utilities − quality/testing − variable logistics − customer-specific costs = contribution</w:t>
      </w:r>
      <w:r>
        <w:rPr/>
        <w:t>. Subtract plant fixed cost, depreciation and maintenance to get the site's economic profit. The customer may own the intellectual property while the CDMO owns hard-to-replicate process know-how and regulatory history. Transfer is possible but can require validation, filing changes and supply-risk acceptance. Switching cost rises once the product is approved and supplied at scale, provided the customer has not deliberately qualified a second source.</w:t>
      </w:r>
    </w:p>
    <w:p>
      <w:pPr>
        <w:pStyle w:val="BodyText"/>
        <w:bidi w:val="0"/>
        <w:rPr/>
      </w:pPr>
      <w:r>
        <w:rPr>
          <w:b/>
        </w:rPr>
        <w:t>A simple illustrative plant:</w:t>
      </w:r>
      <w:r>
        <w:rPr/>
        <w:t xml:space="preserve"> A dedicated line costs ₹300 crore, has fixed operating cost of ₹45 crore a year, and each ₹100 of sales contributes ₹45 after variable cost. At ₹100 crore revenue it contributes ₹45 crore before fixed costs, so EBITDA is zero. At ₹200 crore it yields ₹45 crore EBITDA. Yet a 15% EBITDA margin on ₹300 crore invested may still disappoint after depreciation and taxes. This is why backlog, installed capacity and EBITDA growth have to be checked against project capex, actual loading and post-tax incremental ROIC. These numbers are an example, not a company estimate.</w:t>
      </w:r>
    </w:p>
    <w:p>
      <w:pPr>
        <w:pStyle w:val="Heading3"/>
        <w:bidi w:val="0"/>
        <w:ind w:hanging="0" w:start="0"/>
        <w:rPr/>
      </w:pPr>
      <w:r>
        <w:rPr/>
        <w:t>Investor's checklist</w:t>
      </w:r>
    </w:p>
    <w:p>
      <w:pPr>
        <w:pStyle w:val="BodyText"/>
        <w:numPr>
          <w:ilvl w:val="0"/>
          <w:numId w:val="2"/>
        </w:numPr>
        <w:tabs>
          <w:tab w:val="clear" w:pos="709"/>
          <w:tab w:val="left" w:pos="709" w:leader="none"/>
        </w:tabs>
        <w:bidi w:val="0"/>
        <w:ind w:hanging="283" w:start="709"/>
        <w:rPr/>
      </w:pPr>
      <w:r>
        <w:rPr>
          <w:b/>
        </w:rPr>
        <w:t>Mix:</w:t>
      </w:r>
      <w:r>
        <w:rPr/>
        <w:t xml:space="preserve"> How much is discovery, development, commercial custom manufacturing, generic API and formulations? Do not infer CDMO growth from group sales.</w:t>
      </w:r>
    </w:p>
    <w:p>
      <w:pPr>
        <w:pStyle w:val="BodyText"/>
        <w:numPr>
          <w:ilvl w:val="0"/>
          <w:numId w:val="2"/>
        </w:numPr>
        <w:tabs>
          <w:tab w:val="clear" w:pos="709"/>
          <w:tab w:val="left" w:pos="709" w:leader="none"/>
        </w:tabs>
        <w:bidi w:val="0"/>
        <w:ind w:hanging="283" w:start="709"/>
        <w:rPr/>
      </w:pPr>
      <w:r>
        <w:rPr>
          <w:b/>
        </w:rPr>
        <w:t>Pipeline quality:</w:t>
      </w:r>
      <w:r>
        <w:rPr/>
        <w:t xml:space="preserve"> How many projects entered late-stage development or commercial launch, how concentrated is revenue in the largest molecule or client, and who funds dedicated assets? A high project count can coexist with low conversion.</w:t>
      </w:r>
    </w:p>
    <w:p>
      <w:pPr>
        <w:pStyle w:val="BodyText"/>
        <w:numPr>
          <w:ilvl w:val="0"/>
          <w:numId w:val="2"/>
        </w:numPr>
        <w:tabs>
          <w:tab w:val="clear" w:pos="709"/>
          <w:tab w:val="left" w:pos="709" w:leader="none"/>
        </w:tabs>
        <w:bidi w:val="0"/>
        <w:ind w:hanging="283" w:start="709"/>
        <w:rPr/>
      </w:pPr>
      <w:r>
        <w:rPr>
          <w:b/>
        </w:rPr>
        <w:t>Capacity and timing:</w:t>
      </w:r>
      <w:r>
        <w:rPr/>
        <w:t xml:space="preserve"> When did the site become operational, when does regulatory approval arrive, and what is committed versus merely available capacity? An expansion often depresses near-term margins before orders scale.</w:t>
      </w:r>
    </w:p>
    <w:p>
      <w:pPr>
        <w:pStyle w:val="BodyText"/>
        <w:numPr>
          <w:ilvl w:val="0"/>
          <w:numId w:val="2"/>
        </w:numPr>
        <w:tabs>
          <w:tab w:val="clear" w:pos="709"/>
          <w:tab w:val="left" w:pos="709" w:leader="none"/>
        </w:tabs>
        <w:bidi w:val="0"/>
        <w:ind w:hanging="283" w:start="709"/>
        <w:rPr/>
      </w:pPr>
      <w:r>
        <w:rPr>
          <w:b/>
        </w:rPr>
        <w:t>Price versus volume:</w:t>
      </w:r>
      <w:r>
        <w:rPr/>
        <w:t xml:space="preserve"> Is growth from more batches of an approved drug, a pass-through of expensive raw materials, a one-off milestone, or high-value process complexity?</w:t>
      </w:r>
    </w:p>
    <w:p>
      <w:pPr>
        <w:pStyle w:val="BodyText"/>
        <w:numPr>
          <w:ilvl w:val="0"/>
          <w:numId w:val="2"/>
        </w:numPr>
        <w:tabs>
          <w:tab w:val="clear" w:pos="709"/>
          <w:tab w:val="left" w:pos="709" w:leader="none"/>
        </w:tabs>
        <w:bidi w:val="0"/>
        <w:ind w:hanging="283" w:start="709"/>
        <w:rPr/>
      </w:pPr>
      <w:r>
        <w:rPr>
          <w:b/>
        </w:rPr>
        <w:t>Returns and cash:</w:t>
      </w:r>
      <w:r>
        <w:rPr/>
        <w:t xml:space="preserve"> Compare gross block plus construction in progress to </w:t>
      </w:r>
      <w:r>
        <w:rPr>
          <w:i/>
        </w:rPr>
        <w:t>normalised</w:t>
      </w:r>
      <w:r>
        <w:rPr/>
        <w:t xml:space="preserve"> EBITDA, operating cash and free cash after maintenance and growth capex. Watch capitalised costs, inventory ahead of approvals, receivables and ESOP adjustments.</w:t>
      </w:r>
    </w:p>
    <w:p>
      <w:pPr>
        <w:pStyle w:val="BodyText"/>
        <w:numPr>
          <w:ilvl w:val="0"/>
          <w:numId w:val="2"/>
        </w:numPr>
        <w:tabs>
          <w:tab w:val="clear" w:pos="709"/>
          <w:tab w:val="left" w:pos="709" w:leader="none"/>
        </w:tabs>
        <w:bidi w:val="0"/>
        <w:ind w:hanging="283" w:start="709"/>
        <w:rPr/>
      </w:pPr>
      <w:r>
        <w:rPr>
          <w:b/>
        </w:rPr>
        <w:t>Risk:</w:t>
      </w:r>
      <w:r>
        <w:rPr/>
        <w:t xml:space="preserve"> FDA/EMA observations, failed validation, customer concentration, biotech funding cycles, China displacement claims that have yet to turn into signed supply, and biological versus chemical process requirements.</w:t>
      </w:r>
    </w:p>
    <w:p>
      <w:pPr>
        <w:pStyle w:val="Heading3"/>
        <w:numPr>
          <w:ilvl w:val="0"/>
          <w:numId w:val="0"/>
        </w:numPr>
        <w:bidi w:val="0"/>
        <w:ind w:hanging="0" w:start="0"/>
        <w:rPr/>
      </w:pPr>
      <w:r>
        <w:rPr/>
        <w:t>Listed Indian company map</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Name</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What you actually own</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The debate to articulate</w:t>
            </w:r>
          </w:p>
        </w:tc>
      </w:tr>
      <w:tr>
        <w:trPr/>
        <w:tc>
          <w:tcPr>
            <w:tcW w:w="3212" w:type="dxa"/>
            <w:tcBorders>
              <w:start w:val="single" w:sz="4" w:space="0" w:color="000000"/>
              <w:bottom w:val="single" w:sz="4" w:space="0" w:color="000000"/>
            </w:tcBorders>
          </w:tcPr>
          <w:p>
            <w:pPr>
              <w:pStyle w:val="TableContents"/>
              <w:bidi w:val="0"/>
              <w:rPr/>
            </w:pPr>
            <w:r>
              <w:rPr>
                <w:b/>
              </w:rPr>
              <w:t>Syngene International</w:t>
            </w:r>
          </w:p>
        </w:tc>
        <w:tc>
          <w:tcPr>
            <w:tcW w:w="3213" w:type="dxa"/>
            <w:tcBorders>
              <w:start w:val="single" w:sz="4" w:space="0" w:color="000000"/>
              <w:bottom w:val="single" w:sz="4" w:space="0" w:color="000000"/>
            </w:tcBorders>
          </w:tcPr>
          <w:p>
            <w:pPr>
              <w:pStyle w:val="TableContents"/>
              <w:bidi w:val="0"/>
              <w:rPr/>
            </w:pPr>
            <w:r>
              <w:rPr/>
              <w:t xml:space="preserve">Research and development services plus small and large molecule manufacturing. Its </w:t>
            </w:r>
            <w:hyperlink r:id="rId3">
              <w:r>
                <w:rPr>
                  <w:rStyle w:val="Hyperlink"/>
                </w:rPr>
                <w:t>FY26 annual report</w:t>
              </w:r>
            </w:hyperlink>
            <w:r>
              <w:rPr/>
              <w:t xml:space="preserve"> describes an integrated CRDMO; dedicated R&amp;D centers differ from commercial capacity.</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Can newer biologics capacity and commercial manufacturing earn returns that justify the investment while discovery spending and biotech funding fluctuate?</w:t>
            </w:r>
          </w:p>
        </w:tc>
      </w:tr>
      <w:tr>
        <w:trPr/>
        <w:tc>
          <w:tcPr>
            <w:tcW w:w="3212" w:type="dxa"/>
            <w:tcBorders>
              <w:start w:val="single" w:sz="4" w:space="0" w:color="000000"/>
              <w:bottom w:val="single" w:sz="4" w:space="0" w:color="000000"/>
            </w:tcBorders>
          </w:tcPr>
          <w:p>
            <w:pPr>
              <w:pStyle w:val="TableContents"/>
              <w:bidi w:val="0"/>
              <w:rPr/>
            </w:pPr>
            <w:r>
              <w:rPr>
                <w:b/>
              </w:rPr>
              <w:t>Divi's Laboratories</w:t>
            </w:r>
          </w:p>
        </w:tc>
        <w:tc>
          <w:tcPr>
            <w:tcW w:w="3213" w:type="dxa"/>
            <w:tcBorders>
              <w:start w:val="single" w:sz="4" w:space="0" w:color="000000"/>
              <w:bottom w:val="single" w:sz="4" w:space="0" w:color="000000"/>
            </w:tcBorders>
          </w:tcPr>
          <w:p>
            <w:pPr>
              <w:pStyle w:val="TableContents"/>
              <w:bidi w:val="0"/>
              <w:rPr/>
            </w:pPr>
            <w:r>
              <w:rPr/>
              <w:t xml:space="preserve">Generic API, custom synthesis for innovator customers, and nutraceuticals, per its </w:t>
            </w:r>
            <w:hyperlink r:id="rId4">
              <w:r>
                <w:rPr>
                  <w:rStyle w:val="Hyperlink"/>
                </w:rPr>
                <w:t>business description</w:t>
              </w:r>
            </w:hyperlink>
            <w:r>
              <w:rPr/>
              <w: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Distinguish a custom synthesis product ramp from cyclical generic API volumes or inventory replenishment. Test margins against mix and capex, not merely the CDMO label.</w:t>
            </w:r>
          </w:p>
        </w:tc>
      </w:tr>
      <w:tr>
        <w:trPr/>
        <w:tc>
          <w:tcPr>
            <w:tcW w:w="3212" w:type="dxa"/>
            <w:tcBorders>
              <w:start w:val="single" w:sz="4" w:space="0" w:color="000000"/>
              <w:bottom w:val="single" w:sz="4" w:space="0" w:color="000000"/>
            </w:tcBorders>
          </w:tcPr>
          <w:p>
            <w:pPr>
              <w:pStyle w:val="TableContents"/>
              <w:bidi w:val="0"/>
              <w:rPr/>
            </w:pPr>
            <w:r>
              <w:rPr>
                <w:b/>
              </w:rPr>
              <w:t>Laurus Labs</w:t>
            </w:r>
          </w:p>
        </w:tc>
        <w:tc>
          <w:tcPr>
            <w:tcW w:w="3213" w:type="dxa"/>
            <w:tcBorders>
              <w:start w:val="single" w:sz="4" w:space="0" w:color="000000"/>
              <w:bottom w:val="single" w:sz="4" w:space="0" w:color="000000"/>
            </w:tcBorders>
          </w:tcPr>
          <w:p>
            <w:pPr>
              <w:pStyle w:val="TableContents"/>
              <w:bidi w:val="0"/>
              <w:rPr/>
            </w:pPr>
            <w:r>
              <w:rPr/>
              <w:t xml:space="preserve">Generic APIs/formulations, CDMO and biologics. See </w:t>
            </w:r>
            <w:hyperlink r:id="rId5">
              <w:r>
                <w:rPr>
                  <w:rStyle w:val="Hyperlink"/>
                </w:rPr>
                <w:t>company financials</w:t>
              </w:r>
            </w:hyperlink>
            <w:r>
              <w:rPr/>
              <w: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Can contracted CDMO and biologics output grow fast enough to change mix and returns after large investment, independently of the generic base?</w:t>
            </w:r>
          </w:p>
        </w:tc>
      </w:tr>
      <w:tr>
        <w:trPr/>
        <w:tc>
          <w:tcPr>
            <w:tcW w:w="3212" w:type="dxa"/>
            <w:tcBorders>
              <w:start w:val="single" w:sz="4" w:space="0" w:color="000000"/>
              <w:bottom w:val="single" w:sz="4" w:space="0" w:color="000000"/>
            </w:tcBorders>
          </w:tcPr>
          <w:p>
            <w:pPr>
              <w:pStyle w:val="TableContents"/>
              <w:bidi w:val="0"/>
              <w:rPr/>
            </w:pPr>
            <w:r>
              <w:rPr>
                <w:b/>
              </w:rPr>
              <w:t>Piramal Pharma</w:t>
            </w:r>
          </w:p>
        </w:tc>
        <w:tc>
          <w:tcPr>
            <w:tcW w:w="3213" w:type="dxa"/>
            <w:tcBorders>
              <w:start w:val="single" w:sz="4" w:space="0" w:color="000000"/>
              <w:bottom w:val="single" w:sz="4" w:space="0" w:color="000000"/>
            </w:tcBorders>
          </w:tcPr>
          <w:p>
            <w:pPr>
              <w:pStyle w:val="TableContents"/>
              <w:bidi w:val="0"/>
              <w:rPr/>
            </w:pPr>
            <w:hyperlink r:id="rId6">
              <w:r>
                <w:rPr>
                  <w:rStyle w:val="Hyperlink"/>
                </w:rPr>
                <w:t>Piramal Pharma Solutions</w:t>
              </w:r>
            </w:hyperlink>
            <w:r>
              <w:rPr/>
              <w:t xml:space="preserve"> CDMO alongside critical-care generics and consumer healthcare.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Analyse CDMO capacity, conversion and returns separately from anesthesia product economics and consumer brands.</w:t>
            </w:r>
          </w:p>
        </w:tc>
      </w:tr>
      <w:tr>
        <w:trPr/>
        <w:tc>
          <w:tcPr>
            <w:tcW w:w="3212" w:type="dxa"/>
            <w:tcBorders>
              <w:start w:val="single" w:sz="4" w:space="0" w:color="000000"/>
              <w:bottom w:val="single" w:sz="4" w:space="0" w:color="000000"/>
            </w:tcBorders>
          </w:tcPr>
          <w:p>
            <w:pPr>
              <w:pStyle w:val="TableContents"/>
              <w:bidi w:val="0"/>
              <w:rPr/>
            </w:pPr>
            <w:r>
              <w:rPr>
                <w:b/>
              </w:rPr>
              <w:t>Cohance Lifesciences</w:t>
            </w:r>
            <w:r>
              <w:rPr/>
              <w:t>, formerly Suven Pharmaceuticals</w:t>
            </w:r>
          </w:p>
        </w:tc>
        <w:tc>
          <w:tcPr>
            <w:tcW w:w="3213" w:type="dxa"/>
            <w:tcBorders>
              <w:start w:val="single" w:sz="4" w:space="0" w:color="000000"/>
              <w:bottom w:val="single" w:sz="4" w:space="0" w:color="000000"/>
            </w:tcBorders>
          </w:tcPr>
          <w:p>
            <w:pPr>
              <w:pStyle w:val="TableContents"/>
              <w:bidi w:val="0"/>
              <w:jc w:val="start"/>
              <w:rPr/>
            </w:pPr>
            <w:r>
              <w:rPr/>
              <w:t>Innovator-facing contract development/manufacturing combined with acquired API and specialty capabilities.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Separate organic customer and molecule progression from acquisition-driven growth; track leverage, integration and concentration.</w:t>
            </w:r>
          </w:p>
        </w:tc>
      </w:tr>
      <w:tr>
        <w:trPr/>
        <w:tc>
          <w:tcPr>
            <w:tcW w:w="3212" w:type="dxa"/>
            <w:tcBorders>
              <w:start w:val="single" w:sz="4" w:space="0" w:color="000000"/>
              <w:bottom w:val="single" w:sz="4" w:space="0" w:color="000000"/>
            </w:tcBorders>
          </w:tcPr>
          <w:p>
            <w:pPr>
              <w:pStyle w:val="TableContents"/>
              <w:bidi w:val="0"/>
              <w:rPr/>
            </w:pPr>
            <w:r>
              <w:rPr>
                <w:b/>
              </w:rPr>
              <w:t>Sai Life Sciences</w:t>
            </w:r>
          </w:p>
        </w:tc>
        <w:tc>
          <w:tcPr>
            <w:tcW w:w="3213" w:type="dxa"/>
            <w:tcBorders>
              <w:start w:val="single" w:sz="4" w:space="0" w:color="000000"/>
              <w:bottom w:val="single" w:sz="4" w:space="0" w:color="000000"/>
            </w:tcBorders>
          </w:tcPr>
          <w:p>
            <w:pPr>
              <w:pStyle w:val="TableContents"/>
              <w:bidi w:val="0"/>
              <w:jc w:val="start"/>
              <w:rPr/>
            </w:pPr>
            <w:r>
              <w:rPr/>
              <w:t>Discovery and development services with commercial manufacturing.</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Ask whether research relationships convert to commercial products and whether expansion produces cash returns.</w:t>
            </w:r>
          </w:p>
        </w:tc>
      </w:tr>
      <w:tr>
        <w:trPr/>
        <w:tc>
          <w:tcPr>
            <w:tcW w:w="3212" w:type="dxa"/>
            <w:tcBorders>
              <w:start w:val="single" w:sz="4" w:space="0" w:color="000000"/>
              <w:bottom w:val="single" w:sz="4" w:space="0" w:color="000000"/>
            </w:tcBorders>
          </w:tcPr>
          <w:p>
            <w:pPr>
              <w:pStyle w:val="TableContents"/>
              <w:bidi w:val="0"/>
              <w:rPr/>
            </w:pPr>
            <w:r>
              <w:rPr>
                <w:b/>
              </w:rPr>
              <w:t>Anthem Biosciences</w:t>
            </w:r>
            <w:r>
              <w:rPr/>
              <w:t xml:space="preserve">, </w:t>
            </w:r>
            <w:r>
              <w:rPr>
                <w:b/>
              </w:rPr>
              <w:t>Blue Jet Healthcare</w:t>
            </w:r>
          </w:p>
        </w:tc>
        <w:tc>
          <w:tcPr>
            <w:tcW w:w="3213" w:type="dxa"/>
            <w:tcBorders>
              <w:start w:val="single" w:sz="4" w:space="0" w:color="000000"/>
              <w:bottom w:val="single" w:sz="4" w:space="0" w:color="000000"/>
            </w:tcBorders>
          </w:tcPr>
          <w:p>
            <w:pPr>
              <w:pStyle w:val="TableContents"/>
              <w:bidi w:val="0"/>
              <w:jc w:val="start"/>
              <w:rPr/>
            </w:pPr>
            <w:r>
              <w:rPr/>
              <w:t>More specialist listed exposures to complex chemistry/biologics services and niche products, respectively.</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Establish the exact revenue mix and customer contracts before applying a general CDMO framework.</w:t>
            </w:r>
          </w:p>
        </w:tc>
      </w:tr>
    </w:tbl>
    <w:p>
      <w:pPr>
        <w:pStyle w:val="BodyText"/>
        <w:bidi w:val="0"/>
        <w:rPr/>
      </w:pPr>
      <w:r>
        <w:rPr/>
      </w:r>
    </w:p>
    <w:p>
      <w:pPr>
        <w:pStyle w:val="BodyText"/>
        <w:bidi w:val="0"/>
        <w:rPr/>
      </w:pPr>
      <w:r>
        <w:rPr>
          <w:b/>
        </w:rPr>
        <w:t>Say this aloud:</w:t>
      </w:r>
      <w:r>
        <w:rPr/>
        <w:t xml:space="preserve"> “I would underwrite a CDMO one molecule and one plant at a time. Project wins are leading indicators; validated commercial batches and cash ROIC establish whether the investment worked.”</w:t>
      </w:r>
    </w:p>
    <w:p>
      <w:pPr>
        <w:pStyle w:val="Heading2"/>
        <w:bidi w:val="0"/>
        <w:ind w:hanging="0" w:start="0"/>
        <w:rPr/>
      </w:pPr>
      <w:r>
        <w:rPr/>
        <w:t>2. Diagnostics: pathology is a sample network; imaging is a machine network</w:t>
      </w:r>
    </w:p>
    <w:p>
      <w:pPr>
        <w:pStyle w:val="Heading3"/>
        <w:bidi w:val="0"/>
        <w:ind w:hanging="0" w:start="0"/>
        <w:rPr/>
      </w:pPr>
      <w:r>
        <w:rPr/>
        <w:t>Pathology, step by step</w:t>
      </w:r>
    </w:p>
    <w:p>
      <w:pPr>
        <w:pStyle w:val="BodyText"/>
        <w:bidi w:val="0"/>
        <w:rPr/>
      </w:pPr>
      <w:r>
        <w:rPr/>
        <w:t xml:space="preserve">A doctor or consumer orders a test. A phlebotomist collects a specimen at home, a collection center or a hospital. Barcodes, cold-chain requirements and courier schedules move it to a local or reference laboratory. Automated analyzers run routine chemistry, hematology and immunoassays. Microbiology, histopathology, molecular oncology and genetic testing need different people, instruments, turnaround times and clinical interpretation. Results go to the physician and patient. </w:t>
      </w:r>
      <w:r>
        <w:rPr>
          <w:b/>
        </w:rPr>
        <w:t>A collection center is not necessarily a lab.</w:t>
      </w:r>
      <w:r>
        <w:rPr/>
        <w:t xml:space="preserve"> Large networks centralise expensive instruments while keeping acquisition points near the consumer.</w:t>
      </w:r>
    </w:p>
    <w:p>
      <w:pPr>
        <w:pStyle w:val="BodyText"/>
        <w:bidi w:val="0"/>
        <w:rPr/>
      </w:pPr>
      <w:r>
        <w:rPr/>
        <w:t xml:space="preserve">Revenue is </w:t>
      </w:r>
      <w:r>
        <w:rPr>
          <w:rFonts w:ascii="Liberation Mono" w:hAnsi="Liberation Mono"/>
        </w:rPr>
        <w:t>patients × tests per patient × net revenue per test</w:t>
      </w:r>
      <w:r>
        <w:rPr/>
        <w:t xml:space="preserve">, or </w:t>
      </w:r>
      <w:r>
        <w:rPr>
          <w:rFonts w:ascii="Liberation Mono" w:hAnsi="Liberation Mono"/>
        </w:rPr>
        <w:t>samples × tests per sample × net realization</w:t>
      </w:r>
      <w:r>
        <w:rPr/>
        <w:t>, with care over the company's definitions. Cost includes reagent kits, collection staff, logistics, lab technicians/pathologists, center rent, and franchise or channel commission. Core-lab throughput can improve gross economics, but buying growth through discounts or high commissions may consume it. Samples shipped too far can damage turnaround and quality.</w:t>
      </w:r>
    </w:p>
    <w:p>
      <w:pPr>
        <w:pStyle w:val="BodyText"/>
        <w:bidi w:val="0"/>
        <w:rPr/>
      </w:pPr>
      <w:r>
        <w:rPr>
          <w:b/>
        </w:rPr>
        <w:t>Illustrative economics:</w:t>
      </w:r>
      <w:r>
        <w:rPr/>
        <w:t xml:space="preserve"> A retail customer pays ₹1,000 for a panel; ₹180 goes to collection/logistics, ₹250 to reagents and processing, ₹200 to channel economics, leaving ₹370 before local and corporate fixed costs. A B2B hospital may pay only ₹650, but might supply dense, regular samples and save customer acquisition cost. Comparing only average test price would miss that trade-off. These figures are illustrative.</w:t>
      </w:r>
    </w:p>
    <w:p>
      <w:pPr>
        <w:pStyle w:val="BodyText"/>
        <w:bidi w:val="0"/>
        <w:rPr/>
      </w:pPr>
      <w:r>
        <w:rPr>
          <w:b/>
        </w:rPr>
        <w:t>Pathology categories:</w:t>
      </w:r>
      <w:r>
        <w:rPr/>
        <w:t xml:space="preserve"> routine blood/urine chemistry and hematology are common, automated, price-sensitive and repeatable; chronic monitoring such as HbA1c or thyroid tests adds repeat demand; specialized pathology and molecular tests have more clinical complexity and potentially higher yield but require investment, evidence and physician trust. Wellness packages raise tests per order but can reduce realization per constituent test. Distinguish “tests”, “samples”, “patients” and “visits” when comparing chains.</w:t>
      </w:r>
    </w:p>
    <w:p>
      <w:pPr>
        <w:pStyle w:val="Heading3"/>
        <w:bidi w:val="0"/>
        <w:ind w:hanging="0" w:start="0"/>
        <w:rPr/>
      </w:pPr>
      <w:r>
        <w:rPr/>
        <w:t>Radiology, step by step</w:t>
      </w:r>
    </w:p>
    <w:p>
      <w:pPr>
        <w:pStyle w:val="BodyText"/>
        <w:bidi w:val="0"/>
        <w:rPr/>
      </w:pPr>
      <w:r>
        <w:rPr/>
        <w:t>An X-ray is relatively cheap and fast; ultrasound needs an operator and has lower equipment cost; CT uses ionising radiation and a high-cost scanner; MRI uses magnetic fields, expensive equipment and a longer scan slot; PET-CT requires nuclear-medicine infrastructure and radiotracers. Image acquisition happens locally; interpretation can be centralised through teleradiology, subject to appropriate clinical oversight. Radiology has much higher equipment replacement and service cost than a collection point. Quality of radiologists, referral trust and proximity to clinicians matter as much as the machine.</w:t>
      </w:r>
    </w:p>
    <w:p>
      <w:pPr>
        <w:pStyle w:val="BodyText"/>
        <w:bidi w:val="0"/>
        <w:rPr/>
      </w:pPr>
      <w:r>
        <w:rPr>
          <w:rFonts w:ascii="Liberation Mono" w:hAnsi="Liberation Mono"/>
        </w:rPr>
        <w:t>Scan revenue = operational machines × available slots × utilization × net revenue per scan</w:t>
      </w:r>
      <w:r>
        <w:rPr/>
        <w:t xml:space="preserve">. Subtract technicians, radiologist reporting, service contracts, utilities, films/contrast and rent. </w:t>
      </w:r>
      <w:r>
        <w:rPr>
          <w:b/>
        </w:rPr>
        <w:t>An MRI's EBITDA can look healthy while its return on invested capital is weak</w:t>
      </w:r>
      <w:r>
        <w:rPr/>
        <w:t xml:space="preserve"> if scanner cost, replacement cycle, uptime, lease and financing are ignored. Tender-backed public-private partnerships (PPP) can deliver assured hospital footfall but may have lower tariffs, delayed payment, tender renewals and equipment commitments. Contrast retail and PPP economics separately.</w:t>
      </w:r>
    </w:p>
    <w:p>
      <w:pPr>
        <w:pStyle w:val="Heading3"/>
        <w:bidi w:val="0"/>
        <w:ind w:hanging="0" w:start="0"/>
        <w:rPr/>
      </w:pPr>
      <w:r>
        <w:rPr/>
        <w:t>The diligence dashboard</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Metric</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What it can show</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What can fool you</w:t>
            </w:r>
          </w:p>
        </w:tc>
      </w:tr>
      <w:tr>
        <w:trPr/>
        <w:tc>
          <w:tcPr>
            <w:tcW w:w="3212" w:type="dxa"/>
            <w:tcBorders>
              <w:start w:val="single" w:sz="4" w:space="0" w:color="000000"/>
              <w:bottom w:val="single" w:sz="4" w:space="0" w:color="000000"/>
            </w:tcBorders>
          </w:tcPr>
          <w:p>
            <w:pPr>
              <w:pStyle w:val="TableContents"/>
              <w:bidi w:val="0"/>
              <w:jc w:val="start"/>
              <w:rPr/>
            </w:pPr>
            <w:r>
              <w:rPr/>
              <w:t>Patients and samples, same-store</w:t>
            </w:r>
          </w:p>
        </w:tc>
        <w:tc>
          <w:tcPr>
            <w:tcW w:w="3213" w:type="dxa"/>
            <w:tcBorders>
              <w:start w:val="single" w:sz="4" w:space="0" w:color="000000"/>
              <w:bottom w:val="single" w:sz="4" w:space="0" w:color="000000"/>
            </w:tcBorders>
          </w:tcPr>
          <w:p>
            <w:pPr>
              <w:pStyle w:val="TableContents"/>
              <w:bidi w:val="0"/>
              <w:jc w:val="start"/>
              <w:rPr/>
            </w:pPr>
            <w:r>
              <w:rPr/>
              <w:t>Underlying demand and local share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Acquired centers, bulk contracts, differing patient definitions</w:t>
            </w:r>
          </w:p>
        </w:tc>
      </w:tr>
      <w:tr>
        <w:trPr/>
        <w:tc>
          <w:tcPr>
            <w:tcW w:w="3212" w:type="dxa"/>
            <w:tcBorders>
              <w:start w:val="single" w:sz="4" w:space="0" w:color="000000"/>
              <w:bottom w:val="single" w:sz="4" w:space="0" w:color="000000"/>
            </w:tcBorders>
          </w:tcPr>
          <w:p>
            <w:pPr>
              <w:pStyle w:val="TableContents"/>
              <w:bidi w:val="0"/>
              <w:jc w:val="start"/>
              <w:rPr/>
            </w:pPr>
            <w:r>
              <w:rPr/>
              <w:t>Tests per patient</w:t>
            </w:r>
          </w:p>
        </w:tc>
        <w:tc>
          <w:tcPr>
            <w:tcW w:w="3213" w:type="dxa"/>
            <w:tcBorders>
              <w:start w:val="single" w:sz="4" w:space="0" w:color="000000"/>
              <w:bottom w:val="single" w:sz="4" w:space="0" w:color="000000"/>
            </w:tcBorders>
          </w:tcPr>
          <w:p>
            <w:pPr>
              <w:pStyle w:val="TableContents"/>
              <w:bidi w:val="0"/>
              <w:jc w:val="start"/>
              <w:rPr/>
            </w:pPr>
            <w:r>
              <w:rPr/>
              <w:t>Mix, package adoption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Discounted panels inflate count without proportionate revenue</w:t>
            </w:r>
          </w:p>
        </w:tc>
      </w:tr>
      <w:tr>
        <w:trPr/>
        <w:tc>
          <w:tcPr>
            <w:tcW w:w="3212" w:type="dxa"/>
            <w:tcBorders>
              <w:start w:val="single" w:sz="4" w:space="0" w:color="000000"/>
              <w:bottom w:val="single" w:sz="4" w:space="0" w:color="000000"/>
            </w:tcBorders>
          </w:tcPr>
          <w:p>
            <w:pPr>
              <w:pStyle w:val="TableContents"/>
              <w:bidi w:val="0"/>
              <w:jc w:val="start"/>
              <w:rPr/>
            </w:pPr>
            <w:r>
              <w:rPr/>
              <w:t>Realization per patient/test</w:t>
            </w:r>
          </w:p>
        </w:tc>
        <w:tc>
          <w:tcPr>
            <w:tcW w:w="3213" w:type="dxa"/>
            <w:tcBorders>
              <w:start w:val="single" w:sz="4" w:space="0" w:color="000000"/>
              <w:bottom w:val="single" w:sz="4" w:space="0" w:color="000000"/>
            </w:tcBorders>
          </w:tcPr>
          <w:p>
            <w:pPr>
              <w:pStyle w:val="TableContents"/>
              <w:bidi w:val="0"/>
              <w:jc w:val="start"/>
              <w:rPr/>
            </w:pPr>
            <w:r>
              <w:rPr/>
              <w:t>Price, mix, channel</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B2B/B2C shift or high-value imaging mix mistaken for pricing power</w:t>
            </w:r>
          </w:p>
        </w:tc>
      </w:tr>
      <w:tr>
        <w:trPr/>
        <w:tc>
          <w:tcPr>
            <w:tcW w:w="3212" w:type="dxa"/>
            <w:tcBorders>
              <w:start w:val="single" w:sz="4" w:space="0" w:color="000000"/>
              <w:bottom w:val="single" w:sz="4" w:space="0" w:color="000000"/>
            </w:tcBorders>
          </w:tcPr>
          <w:p>
            <w:pPr>
              <w:pStyle w:val="TableContents"/>
              <w:bidi w:val="0"/>
              <w:jc w:val="start"/>
              <w:rPr/>
            </w:pPr>
            <w:r>
              <w:rPr/>
              <w:t>B2C versus B2B</w:t>
            </w:r>
          </w:p>
        </w:tc>
        <w:tc>
          <w:tcPr>
            <w:tcW w:w="3213" w:type="dxa"/>
            <w:tcBorders>
              <w:start w:val="single" w:sz="4" w:space="0" w:color="000000"/>
              <w:bottom w:val="single" w:sz="4" w:space="0" w:color="000000"/>
            </w:tcBorders>
          </w:tcPr>
          <w:p>
            <w:pPr>
              <w:pStyle w:val="TableContents"/>
              <w:bidi w:val="0"/>
              <w:jc w:val="start"/>
              <w:rPr/>
            </w:pPr>
            <w:r>
              <w:rPr/>
              <w:t>Brand control versus distribution reach</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B2C can spend heavily on advertising; B2B can be efficient if dense</w:t>
            </w:r>
          </w:p>
        </w:tc>
      </w:tr>
      <w:tr>
        <w:trPr/>
        <w:tc>
          <w:tcPr>
            <w:tcW w:w="3212" w:type="dxa"/>
            <w:tcBorders>
              <w:start w:val="single" w:sz="4" w:space="0" w:color="000000"/>
              <w:bottom w:val="single" w:sz="4" w:space="0" w:color="000000"/>
            </w:tcBorders>
          </w:tcPr>
          <w:p>
            <w:pPr>
              <w:pStyle w:val="TableContents"/>
              <w:bidi w:val="0"/>
              <w:jc w:val="start"/>
              <w:rPr/>
            </w:pPr>
            <w:r>
              <w:rPr/>
              <w:t>Specialty test share</w:t>
            </w:r>
          </w:p>
        </w:tc>
        <w:tc>
          <w:tcPr>
            <w:tcW w:w="3213" w:type="dxa"/>
            <w:tcBorders>
              <w:start w:val="single" w:sz="4" w:space="0" w:color="000000"/>
              <w:bottom w:val="single" w:sz="4" w:space="0" w:color="000000"/>
            </w:tcBorders>
          </w:tcPr>
          <w:p>
            <w:pPr>
              <w:pStyle w:val="TableContents"/>
              <w:bidi w:val="0"/>
              <w:jc w:val="start"/>
              <w:rPr/>
            </w:pPr>
            <w:r>
              <w:rPr/>
              <w:t>Physician engagement, complexity</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Send-out tests may carry poor gross margin despite high selling price</w:t>
            </w:r>
          </w:p>
        </w:tc>
      </w:tr>
      <w:tr>
        <w:trPr/>
        <w:tc>
          <w:tcPr>
            <w:tcW w:w="3212" w:type="dxa"/>
            <w:tcBorders>
              <w:start w:val="single" w:sz="4" w:space="0" w:color="000000"/>
              <w:bottom w:val="single" w:sz="4" w:space="0" w:color="000000"/>
            </w:tcBorders>
          </w:tcPr>
          <w:p>
            <w:pPr>
              <w:pStyle w:val="TableContents"/>
              <w:bidi w:val="0"/>
              <w:jc w:val="start"/>
              <w:rPr/>
            </w:pPr>
            <w:r>
              <w:rPr/>
              <w:t>Collection-center cohort</w:t>
            </w:r>
          </w:p>
        </w:tc>
        <w:tc>
          <w:tcPr>
            <w:tcW w:w="3213" w:type="dxa"/>
            <w:tcBorders>
              <w:start w:val="single" w:sz="4" w:space="0" w:color="000000"/>
              <w:bottom w:val="single" w:sz="4" w:space="0" w:color="000000"/>
            </w:tcBorders>
          </w:tcPr>
          <w:p>
            <w:pPr>
              <w:pStyle w:val="TableContents"/>
              <w:bidi w:val="0"/>
              <w:jc w:val="start"/>
              <w:rPr/>
            </w:pPr>
            <w:r>
              <w:rPr/>
              <w:t>Network productivity</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Franchise economics may differ from owned-center economics</w:t>
            </w:r>
          </w:p>
        </w:tc>
      </w:tr>
      <w:tr>
        <w:trPr/>
        <w:tc>
          <w:tcPr>
            <w:tcW w:w="3212" w:type="dxa"/>
            <w:tcBorders>
              <w:start w:val="single" w:sz="4" w:space="0" w:color="000000"/>
              <w:bottom w:val="single" w:sz="4" w:space="0" w:color="000000"/>
            </w:tcBorders>
          </w:tcPr>
          <w:p>
            <w:pPr>
              <w:pStyle w:val="TableContents"/>
              <w:bidi w:val="0"/>
              <w:jc w:val="start"/>
              <w:rPr/>
            </w:pPr>
            <w:r>
              <w:rPr/>
              <w:t>MRI/CT scans per machine</w:t>
            </w:r>
          </w:p>
        </w:tc>
        <w:tc>
          <w:tcPr>
            <w:tcW w:w="3213" w:type="dxa"/>
            <w:tcBorders>
              <w:start w:val="single" w:sz="4" w:space="0" w:color="000000"/>
              <w:bottom w:val="single" w:sz="4" w:space="0" w:color="000000"/>
            </w:tcBorders>
          </w:tcPr>
          <w:p>
            <w:pPr>
              <w:pStyle w:val="TableContents"/>
              <w:bidi w:val="0"/>
              <w:jc w:val="start"/>
              <w:rPr/>
            </w:pPr>
            <w:r>
              <w:rPr/>
              <w:t>Radiology utilization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Old scanners, machine downtime, depreciation and replacement capex</w:t>
            </w:r>
          </w:p>
        </w:tc>
      </w:tr>
      <w:tr>
        <w:trPr/>
        <w:tc>
          <w:tcPr>
            <w:tcW w:w="3212" w:type="dxa"/>
            <w:tcBorders>
              <w:start w:val="single" w:sz="4" w:space="0" w:color="000000"/>
              <w:bottom w:val="single" w:sz="4" w:space="0" w:color="000000"/>
            </w:tcBorders>
          </w:tcPr>
          <w:p>
            <w:pPr>
              <w:pStyle w:val="TableContents"/>
              <w:bidi w:val="0"/>
              <w:jc w:val="start"/>
              <w:rPr/>
            </w:pPr>
            <w:r>
              <w:rPr/>
              <w:t>Cash conversion</w:t>
            </w:r>
          </w:p>
        </w:tc>
        <w:tc>
          <w:tcPr>
            <w:tcW w:w="3213" w:type="dxa"/>
            <w:tcBorders>
              <w:start w:val="single" w:sz="4" w:space="0" w:color="000000"/>
              <w:bottom w:val="single" w:sz="4" w:space="0" w:color="000000"/>
            </w:tcBorders>
          </w:tcPr>
          <w:p>
            <w:pPr>
              <w:pStyle w:val="TableContents"/>
              <w:bidi w:val="0"/>
              <w:jc w:val="start"/>
              <w:rPr/>
            </w:pPr>
            <w:r>
              <w:rPr/>
              <w:t>Tender and corporate collection quality</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Revenue booked before a government/insurer settles</w:t>
            </w:r>
          </w:p>
        </w:tc>
      </w:tr>
    </w:tbl>
    <w:p>
      <w:pPr>
        <w:pStyle w:val="BodyText"/>
        <w:bidi w:val="0"/>
        <w:rPr/>
      </w:pPr>
      <w:r>
        <w:rPr/>
      </w:r>
    </w:p>
    <w:p>
      <w:pPr>
        <w:pStyle w:val="Heading3"/>
        <w:bidi w:val="0"/>
        <w:ind w:hanging="0" w:start="0"/>
        <w:rPr/>
      </w:pPr>
      <w:r>
        <w:rPr/>
        <w:t>Listed company map</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Name</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Model</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Main investor question</w:t>
            </w:r>
          </w:p>
        </w:tc>
      </w:tr>
      <w:tr>
        <w:trPr/>
        <w:tc>
          <w:tcPr>
            <w:tcW w:w="3212" w:type="dxa"/>
            <w:tcBorders>
              <w:start w:val="single" w:sz="4" w:space="0" w:color="000000"/>
              <w:bottom w:val="single" w:sz="4" w:space="0" w:color="000000"/>
            </w:tcBorders>
          </w:tcPr>
          <w:p>
            <w:pPr>
              <w:pStyle w:val="TableContents"/>
              <w:bidi w:val="0"/>
              <w:rPr/>
            </w:pPr>
            <w:r>
              <w:rPr>
                <w:b/>
              </w:rPr>
              <w:t>Dr Lal PathLabs</w:t>
            </w:r>
          </w:p>
        </w:tc>
        <w:tc>
          <w:tcPr>
            <w:tcW w:w="3213" w:type="dxa"/>
            <w:tcBorders>
              <w:start w:val="single" w:sz="4" w:space="0" w:color="000000"/>
              <w:bottom w:val="single" w:sz="4" w:space="0" w:color="000000"/>
            </w:tcBorders>
          </w:tcPr>
          <w:p>
            <w:pPr>
              <w:pStyle w:val="TableContents"/>
              <w:bidi w:val="0"/>
              <w:rPr/>
            </w:pPr>
            <w:r>
              <w:rPr/>
              <w:t xml:space="preserve">National pathology lab and collection franchise network, with </w:t>
            </w:r>
            <w:hyperlink r:id="rId7">
              <w:r>
                <w:rPr>
                  <w:rStyle w:val="Hyperlink"/>
                </w:rPr>
                <w:t>reference lab infrastructure</w:t>
              </w:r>
            </w:hyperlink>
            <w:r>
              <w:rPr/>
              <w:t>; radiology is not the central investment case.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Are patient volumes and franchise economics strengthening without sacrificing net realization?</w:t>
            </w:r>
          </w:p>
        </w:tc>
      </w:tr>
      <w:tr>
        <w:trPr/>
        <w:tc>
          <w:tcPr>
            <w:tcW w:w="3212" w:type="dxa"/>
            <w:tcBorders>
              <w:start w:val="single" w:sz="4" w:space="0" w:color="000000"/>
              <w:bottom w:val="single" w:sz="4" w:space="0" w:color="000000"/>
            </w:tcBorders>
          </w:tcPr>
          <w:p>
            <w:pPr>
              <w:pStyle w:val="TableContents"/>
              <w:bidi w:val="0"/>
              <w:rPr/>
            </w:pPr>
            <w:r>
              <w:rPr>
                <w:b/>
              </w:rPr>
              <w:t>Metropolis Healthcare</w:t>
            </w:r>
          </w:p>
        </w:tc>
        <w:tc>
          <w:tcPr>
            <w:tcW w:w="3213" w:type="dxa"/>
            <w:tcBorders>
              <w:start w:val="single" w:sz="4" w:space="0" w:color="000000"/>
              <w:bottom w:val="single" w:sz="4" w:space="0" w:color="000000"/>
            </w:tcBorders>
          </w:tcPr>
          <w:p>
            <w:pPr>
              <w:pStyle w:val="TableContents"/>
              <w:bidi w:val="0"/>
              <w:rPr/>
            </w:pPr>
            <w:r>
              <w:rPr/>
              <w:t xml:space="preserve">Pathology with physician-led specialty testing and retail/B2B relationships; see its </w:t>
            </w:r>
            <w:hyperlink r:id="rId8">
              <w:r>
                <w:rPr>
                  <w:rStyle w:val="Hyperlink"/>
                </w:rPr>
                <w:t>investor disclosures</w:t>
              </w:r>
            </w:hyperlink>
            <w:r>
              <w:rPr/>
              <w: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Are specialized tests and acquisitions improving organic mix and return on capital after integration?</w:t>
            </w:r>
          </w:p>
        </w:tc>
      </w:tr>
      <w:tr>
        <w:trPr/>
        <w:tc>
          <w:tcPr>
            <w:tcW w:w="3212" w:type="dxa"/>
            <w:tcBorders>
              <w:start w:val="single" w:sz="4" w:space="0" w:color="000000"/>
              <w:bottom w:val="single" w:sz="4" w:space="0" w:color="000000"/>
            </w:tcBorders>
          </w:tcPr>
          <w:p>
            <w:pPr>
              <w:pStyle w:val="TableContents"/>
              <w:bidi w:val="0"/>
              <w:rPr/>
            </w:pPr>
            <w:r>
              <w:rPr>
                <w:b/>
              </w:rPr>
              <w:t>Thyrocare Technologies</w:t>
            </w:r>
          </w:p>
        </w:tc>
        <w:tc>
          <w:tcPr>
            <w:tcW w:w="3213" w:type="dxa"/>
            <w:tcBorders>
              <w:start w:val="single" w:sz="4" w:space="0" w:color="000000"/>
              <w:bottom w:val="single" w:sz="4" w:space="0" w:color="000000"/>
            </w:tcBorders>
          </w:tcPr>
          <w:p>
            <w:pPr>
              <w:pStyle w:val="TableContents"/>
              <w:bidi w:val="0"/>
              <w:rPr/>
            </w:pPr>
            <w:hyperlink r:id="rId9">
              <w:r>
                <w:rPr>
                  <w:rStyle w:val="Hyperlink"/>
                </w:rPr>
                <w:t>B2B-oriented</w:t>
              </w:r>
            </w:hyperlink>
            <w:r>
              <w:rPr/>
              <w:t>, high-throughput pathology platform with expanding home collection and a smaller radiology operation.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Can central lab scale and affordability coexist with channel pricing, collection costs and radiology investment? Samara previously had exposure to this name.</w:t>
            </w:r>
          </w:p>
        </w:tc>
      </w:tr>
      <w:tr>
        <w:trPr/>
        <w:tc>
          <w:tcPr>
            <w:tcW w:w="3212" w:type="dxa"/>
            <w:tcBorders>
              <w:start w:val="single" w:sz="4" w:space="0" w:color="000000"/>
              <w:bottom w:val="single" w:sz="4" w:space="0" w:color="000000"/>
            </w:tcBorders>
          </w:tcPr>
          <w:p>
            <w:pPr>
              <w:pStyle w:val="TableContents"/>
              <w:bidi w:val="0"/>
              <w:rPr/>
            </w:pPr>
            <w:r>
              <w:rPr>
                <w:b/>
              </w:rPr>
              <w:t>Vijaya Diagnostic Centre</w:t>
            </w:r>
          </w:p>
        </w:tc>
        <w:tc>
          <w:tcPr>
            <w:tcW w:w="3213" w:type="dxa"/>
            <w:tcBorders>
              <w:start w:val="single" w:sz="4" w:space="0" w:color="000000"/>
              <w:bottom w:val="single" w:sz="4" w:space="0" w:color="000000"/>
            </w:tcBorders>
          </w:tcPr>
          <w:p>
            <w:pPr>
              <w:pStyle w:val="TableContents"/>
              <w:bidi w:val="0"/>
              <w:rPr/>
            </w:pPr>
            <w:r>
              <w:rPr/>
              <w:t xml:space="preserve">Regional integrated pathology and radiology centers, historically strong in the south; review its </w:t>
            </w:r>
            <w:hyperlink r:id="rId10">
              <w:r>
                <w:rPr>
                  <w:rStyle w:val="Hyperlink"/>
                </w:rPr>
                <w:t>FY26 annual report</w:t>
              </w:r>
            </w:hyperlink>
            <w:r>
              <w:rPr/>
              <w: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Can it reproduce center productivity in acquired/new geographies and maintain imaging utilization?</w:t>
            </w:r>
          </w:p>
        </w:tc>
      </w:tr>
      <w:tr>
        <w:trPr/>
        <w:tc>
          <w:tcPr>
            <w:tcW w:w="3212" w:type="dxa"/>
            <w:tcBorders>
              <w:start w:val="single" w:sz="4" w:space="0" w:color="000000"/>
              <w:bottom w:val="single" w:sz="4" w:space="0" w:color="000000"/>
            </w:tcBorders>
          </w:tcPr>
          <w:p>
            <w:pPr>
              <w:pStyle w:val="TableContents"/>
              <w:bidi w:val="0"/>
              <w:rPr/>
            </w:pPr>
            <w:r>
              <w:rPr>
                <w:b/>
              </w:rPr>
              <w:t>Suraksha Diagnostic</w:t>
            </w:r>
          </w:p>
        </w:tc>
        <w:tc>
          <w:tcPr>
            <w:tcW w:w="3213" w:type="dxa"/>
            <w:tcBorders>
              <w:start w:val="single" w:sz="4" w:space="0" w:color="000000"/>
              <w:bottom w:val="single" w:sz="4" w:space="0" w:color="000000"/>
            </w:tcBorders>
          </w:tcPr>
          <w:p>
            <w:pPr>
              <w:pStyle w:val="TableContents"/>
              <w:bidi w:val="0"/>
              <w:rPr/>
            </w:pPr>
            <w:r>
              <w:rPr/>
              <w:t xml:space="preserve">East India centered integrated retail network; </w:t>
            </w:r>
            <w:hyperlink r:id="rId11">
              <w:r>
                <w:rPr>
                  <w:rStyle w:val="Hyperlink"/>
                </w:rPr>
                <w:t>FY26 presentation</w:t>
              </w:r>
            </w:hyperlink>
            <w:r>
              <w:rPr/>
              <w:t xml:space="preserve"> reports radiology 44.3%, pathology 48.9% of revenue.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Does the dense regional position translate into attractive returns as new centers and imaging assets mature?</w:t>
            </w:r>
          </w:p>
        </w:tc>
      </w:tr>
      <w:tr>
        <w:trPr/>
        <w:tc>
          <w:tcPr>
            <w:tcW w:w="3212" w:type="dxa"/>
            <w:tcBorders>
              <w:start w:val="single" w:sz="4" w:space="0" w:color="000000"/>
              <w:bottom w:val="single" w:sz="4" w:space="0" w:color="000000"/>
            </w:tcBorders>
          </w:tcPr>
          <w:p>
            <w:pPr>
              <w:pStyle w:val="TableContents"/>
              <w:bidi w:val="0"/>
              <w:rPr/>
            </w:pPr>
            <w:r>
              <w:rPr>
                <w:b/>
              </w:rPr>
              <w:t>Krsnaa Diagnostics</w:t>
            </w:r>
          </w:p>
        </w:tc>
        <w:tc>
          <w:tcPr>
            <w:tcW w:w="3213" w:type="dxa"/>
            <w:tcBorders>
              <w:start w:val="single" w:sz="4" w:space="0" w:color="000000"/>
              <w:bottom w:val="single" w:sz="4" w:space="0" w:color="000000"/>
            </w:tcBorders>
          </w:tcPr>
          <w:p>
            <w:pPr>
              <w:pStyle w:val="TableContents"/>
              <w:bidi w:val="0"/>
              <w:rPr/>
            </w:pPr>
            <w:r>
              <w:rPr/>
              <w:t xml:space="preserve">Radiology plus pathology with substantial PPP tender exposure; see its </w:t>
            </w:r>
            <w:hyperlink r:id="rId12">
              <w:r>
                <w:rPr>
                  <w:rStyle w:val="Hyperlink"/>
                </w:rPr>
                <w:t>investor page</w:t>
              </w:r>
            </w:hyperlink>
            <w:r>
              <w:rPr/>
              <w: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Compare lifetime contract contribution with scanner capex, payment lags and renegotiation risk.</w:t>
            </w:r>
          </w:p>
        </w:tc>
      </w:tr>
      <w:tr>
        <w:trPr/>
        <w:tc>
          <w:tcPr>
            <w:tcW w:w="3212" w:type="dxa"/>
            <w:tcBorders>
              <w:start w:val="single" w:sz="4" w:space="0" w:color="000000"/>
              <w:bottom w:val="single" w:sz="4" w:space="0" w:color="000000"/>
            </w:tcBorders>
          </w:tcPr>
          <w:p>
            <w:pPr>
              <w:pStyle w:val="TableContents"/>
              <w:bidi w:val="0"/>
              <w:rPr/>
            </w:pPr>
            <w:r>
              <w:rPr>
                <w:b/>
              </w:rPr>
              <w:t>Fortis Healthcare</w:t>
            </w:r>
          </w:p>
        </w:tc>
        <w:tc>
          <w:tcPr>
            <w:tcW w:w="3213" w:type="dxa"/>
            <w:tcBorders>
              <w:start w:val="single" w:sz="4" w:space="0" w:color="000000"/>
              <w:bottom w:val="single" w:sz="4" w:space="0" w:color="000000"/>
            </w:tcBorders>
          </w:tcPr>
          <w:p>
            <w:pPr>
              <w:pStyle w:val="TableContents"/>
              <w:bidi w:val="0"/>
              <w:rPr/>
            </w:pPr>
            <w:r>
              <w:rPr/>
              <w:t xml:space="preserve">Owns hospitals and Agilus Diagnostics, a substantial diagnostic network; see </w:t>
            </w:r>
            <w:hyperlink r:id="rId13">
              <w:r>
                <w:rPr>
                  <w:rStyle w:val="Hyperlink"/>
                </w:rPr>
                <w:t>Fortis disclosures</w:t>
              </w:r>
            </w:hyperlink>
            <w:r>
              <w:rPr/>
              <w: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Value diagnostic and hospital cash flows separately, allowing for ownership, corporate costs and capital employed.</w:t>
            </w:r>
          </w:p>
        </w:tc>
      </w:tr>
    </w:tbl>
    <w:p>
      <w:pPr>
        <w:pStyle w:val="BodyText"/>
        <w:bidi w:val="0"/>
        <w:rPr/>
      </w:pPr>
      <w:r>
        <w:rPr/>
      </w:r>
    </w:p>
    <w:p>
      <w:pPr>
        <w:pStyle w:val="BodyText"/>
        <w:bidi w:val="0"/>
        <w:rPr/>
      </w:pPr>
      <w:r>
        <w:rPr>
          <w:b/>
        </w:rPr>
        <w:t>Question for a Thyrocare veteran:</w:t>
      </w:r>
      <w:r>
        <w:rPr/>
        <w:t xml:space="preserve"> “If you doubled collection points tomorrow, what would you need to see in </w:t>
      </w:r>
      <w:r>
        <w:rPr>
          <w:i/>
        </w:rPr>
        <w:t>incremental samples and contribution per route</w:t>
      </w:r>
      <w:r>
        <w:rPr/>
        <w:t xml:space="preserve"> before concluding network density created value? How do you distinguish a useful low-price strategy from subsidizing a channel?”</w:t>
      </w:r>
    </w:p>
    <w:p>
      <w:pPr>
        <w:pStyle w:val="Heading2"/>
        <w:bidi w:val="0"/>
        <w:ind w:hanging="0" w:start="0"/>
        <w:rPr/>
      </w:pPr>
      <w:r>
        <w:rPr/>
        <w:t>3. Hospitals: the scarce asset is a functioning clinical team, not a physical bed</w:t>
      </w:r>
    </w:p>
    <w:p>
      <w:pPr>
        <w:pStyle w:val="Heading3"/>
        <w:bidi w:val="0"/>
        <w:ind w:hanging="0" w:start="0"/>
        <w:rPr/>
      </w:pPr>
      <w:r>
        <w:rPr/>
        <w:t>A patient and a rupee through a hospital</w:t>
      </w:r>
    </w:p>
    <w:p>
      <w:pPr>
        <w:pStyle w:val="BodyText"/>
        <w:bidi w:val="0"/>
        <w:rPr/>
      </w:pPr>
      <w:r>
        <w:rPr/>
        <w:t xml:space="preserve">Outpatient consultations and diagnostics bring patients into the system. A physician decides whether they need an admission, procedure, ICU, surgery or medicine. An inpatient pays a bundled or itemized bill for bed, nursing, operation theatre, devices, drugs, diagnostics and professional fees. The hospital pays physicians under salaries, retainers, minimum guarantees or revenue-share arrangements; purchases medicines, implants and consumables; and supports nurses, theatre staff, utilities and facilities. </w:t>
      </w:r>
      <w:r>
        <w:rPr>
          <w:b/>
        </w:rPr>
        <w:t>A hospital brand helps referrals, but an individual clinical team often drives an entire specialty's demand.</w:t>
      </w:r>
      <w:r>
        <w:rPr/>
        <w:t xml:space="preserve"> Referral integrity and patient outcomes determine durability.</w:t>
      </w:r>
    </w:p>
    <w:p>
      <w:pPr>
        <w:pStyle w:val="BodyText"/>
        <w:bidi w:val="0"/>
        <w:rPr/>
      </w:pPr>
      <w:r>
        <w:rPr/>
        <w:t>The payer may be cash, private insurer, employer, government scheme or overseas patient. Their tariffs, approval rules and payment timing differ. Government schemes can improve occupancy but pay lower fixed package rates and can take longer to settle. Insurer contracts supply patients but negotiate discounts and challenge claims. A complex surgical mix lifts billed revenue while increasing physician/device cost and length of stay. International patient revenue often commands different realization but depends on visas, air connectivity and geopolitics.</w:t>
      </w:r>
    </w:p>
    <w:p>
      <w:pPr>
        <w:pStyle w:val="BodyText"/>
        <w:bidi w:val="0"/>
        <w:rPr/>
      </w:pPr>
      <w:r>
        <w:rPr>
          <w:b/>
        </w:rPr>
        <w:t>Operational bridge:</w:t>
      </w:r>
    </w:p>
    <w:p>
      <w:pPr>
        <w:pStyle w:val="BodyText"/>
        <w:bidi w:val="0"/>
        <w:rPr/>
      </w:pPr>
      <w:r>
        <w:rPr>
          <w:rFonts w:ascii="Liberation Mono" w:hAnsi="Liberation Mono"/>
        </w:rPr>
        <w:t>Occupied bed-days = operational beds × days × occupancy</w:t>
      </w:r>
      <w:r>
        <w:rPr/>
        <w:t>.</w:t>
      </w:r>
    </w:p>
    <w:p>
      <w:pPr>
        <w:pStyle w:val="BodyText"/>
        <w:bidi w:val="0"/>
        <w:rPr/>
      </w:pPr>
      <w:r>
        <w:rPr>
          <w:rFonts w:ascii="Liberation Mono" w:hAnsi="Liberation Mono"/>
        </w:rPr>
        <w:t>Hospital inpatient revenue ≈ occupied bed-days × ARPOB</w:t>
      </w:r>
      <w:r>
        <w:rPr/>
        <w:t xml:space="preserve"> if ARPOB is defined on inpatient revenue. Some issuers include other items or use a different denominator, so read the presentation footnote.</w:t>
      </w:r>
    </w:p>
    <w:p>
      <w:pPr>
        <w:pStyle w:val="BodyText"/>
        <w:bidi w:val="0"/>
        <w:rPr/>
      </w:pPr>
      <w:r>
        <w:rPr>
          <w:rFonts w:ascii="Liberation Mono" w:hAnsi="Liberation Mono"/>
        </w:rPr>
        <w:t>Admissions ≈ occupied bed-days / average length of stay (ALOS)</w:t>
      </w:r>
      <w:r>
        <w:rPr/>
        <w:t>.</w:t>
      </w:r>
    </w:p>
    <w:p>
      <w:pPr>
        <w:pStyle w:val="BodyText"/>
        <w:bidi w:val="0"/>
        <w:rPr/>
      </w:pPr>
      <w:r>
        <w:rPr>
          <w:rFonts w:ascii="Liberation Mono" w:hAnsi="Liberation Mono"/>
        </w:rPr>
        <w:t>Revenue per inpatient episode ≈ ARPOB × ALOS</w:t>
      </w:r>
      <w:r>
        <w:rPr/>
        <w:t>, on consistent definitions.</w:t>
      </w:r>
    </w:p>
    <w:p>
      <w:pPr>
        <w:pStyle w:val="BodyText"/>
        <w:bidi w:val="0"/>
        <w:rPr/>
      </w:pPr>
      <w:r>
        <w:rPr/>
        <w:t>For illustration, 200 operational beds at 60% occupancy for a 30-day month produce 3,600 occupied bed-days. At ₹50,000 ARPOB, this is ₹18 crore of inpatient revenue. At 4-day ALOS, it implies about 900 discharges and ₹2 lakh per episode. If ALOS falls to 3 days and admissions remain 900, occupancy drops to 45% and revenue declines unless the capacity fills with more patients. If admissions grow to 1,200, the same 60% occupancy can support more efficient throughput. ALOS is not unconditionally good or bad: complexity, outcomes, bed constraints and readmissions matter.</w:t>
      </w:r>
    </w:p>
    <w:p>
      <w:pPr>
        <w:pStyle w:val="BodyText"/>
        <w:bidi w:val="0"/>
        <w:rPr/>
      </w:pPr>
      <w:r>
        <w:rPr>
          <w:b/>
        </w:rPr>
        <w:t>ARPOB is not a price index.</w:t>
      </w:r>
      <w:r>
        <w:rPr/>
        <w:t xml:space="preserve"> It rises when case severity, surgical share, ICU use, specialty mix, insurance mix or tariffs increase. A move into oncology may raise average billing and drug cost together. Compare incremental contribution, discharge volume and clinical outcomes, not ARPOB alone. Occupancy above a practical threshold can create bottlenecks in theatre/ICU/critical specialties before every physical bed is full. “Installed”, “commissioned” and “operational” beds are different denominators.</w:t>
      </w:r>
    </w:p>
    <w:p>
      <w:pPr>
        <w:pStyle w:val="Heading3"/>
        <w:bidi w:val="0"/>
        <w:ind w:hanging="0" w:start="0"/>
        <w:rPr/>
      </w:pPr>
      <w:r>
        <w:rPr/>
        <w:t>How to assess an expansion</w:t>
      </w:r>
    </w:p>
    <w:p>
      <w:pPr>
        <w:pStyle w:val="BodyText"/>
        <w:numPr>
          <w:ilvl w:val="0"/>
          <w:numId w:val="3"/>
        </w:numPr>
        <w:tabs>
          <w:tab w:val="clear" w:pos="709"/>
          <w:tab w:val="left" w:pos="709" w:leader="none"/>
        </w:tabs>
        <w:bidi w:val="0"/>
        <w:ind w:hanging="283" w:start="709"/>
        <w:rPr/>
      </w:pPr>
      <w:r>
        <w:rPr>
          <w:b/>
        </w:rPr>
        <w:t>Demand and doctors:</w:t>
      </w:r>
      <w:r>
        <w:rPr/>
        <w:t xml:space="preserve"> Is there a catchment, consultant team and referral network? Does the hospital own the brand or depend on one star surgeon?</w:t>
      </w:r>
    </w:p>
    <w:p>
      <w:pPr>
        <w:pStyle w:val="BodyText"/>
        <w:numPr>
          <w:ilvl w:val="0"/>
          <w:numId w:val="3"/>
        </w:numPr>
        <w:tabs>
          <w:tab w:val="clear" w:pos="709"/>
          <w:tab w:val="left" w:pos="709" w:leader="none"/>
        </w:tabs>
        <w:bidi w:val="0"/>
        <w:ind w:hanging="283" w:start="709"/>
        <w:rPr/>
      </w:pPr>
      <w:r>
        <w:rPr>
          <w:b/>
        </w:rPr>
        <w:t>Bed mix:</w:t>
      </w:r>
      <w:r>
        <w:rPr/>
        <w:t xml:space="preserve"> General ward, ICU, day-care and operating theatre capacity must fit the specialty. A bed without nurses, a surgeon or insurer empanelment does not produce revenue.</w:t>
      </w:r>
    </w:p>
    <w:p>
      <w:pPr>
        <w:pStyle w:val="BodyText"/>
        <w:numPr>
          <w:ilvl w:val="0"/>
          <w:numId w:val="3"/>
        </w:numPr>
        <w:tabs>
          <w:tab w:val="clear" w:pos="709"/>
          <w:tab w:val="left" w:pos="709" w:leader="none"/>
        </w:tabs>
        <w:bidi w:val="0"/>
        <w:ind w:hanging="283" w:start="709"/>
        <w:rPr/>
      </w:pPr>
      <w:r>
        <w:rPr>
          <w:b/>
        </w:rPr>
        <w:t>Cohort ramp:</w:t>
      </w:r>
      <w:r>
        <w:rPr/>
        <w:t xml:space="preserve"> New hospitals often lose money initially; mature sites should be assessed separately. An acquisition's initial EBITDA is not the return on the </w:t>
      </w:r>
      <w:r>
        <w:rPr>
          <w:i/>
        </w:rPr>
        <w:t>purchase price plus upgrade capex</w:t>
      </w:r>
      <w:r>
        <w:rPr/>
        <w:t>.</w:t>
      </w:r>
    </w:p>
    <w:p>
      <w:pPr>
        <w:pStyle w:val="BodyText"/>
        <w:numPr>
          <w:ilvl w:val="0"/>
          <w:numId w:val="3"/>
        </w:numPr>
        <w:tabs>
          <w:tab w:val="clear" w:pos="709"/>
          <w:tab w:val="left" w:pos="709" w:leader="none"/>
        </w:tabs>
        <w:bidi w:val="0"/>
        <w:ind w:hanging="283" w:start="709"/>
        <w:rPr/>
      </w:pPr>
      <w:r>
        <w:rPr>
          <w:b/>
        </w:rPr>
        <w:t>Cash:</w:t>
      </w:r>
      <w:r>
        <w:rPr/>
        <w:t xml:space="preserve"> Measure operating cash after working capital, lease obligations and recurring equipment replacement. Even when land is asset-heavy, leased hospitals still use capital.</w:t>
      </w:r>
    </w:p>
    <w:p>
      <w:pPr>
        <w:pStyle w:val="BodyText"/>
        <w:numPr>
          <w:ilvl w:val="0"/>
          <w:numId w:val="3"/>
        </w:numPr>
        <w:tabs>
          <w:tab w:val="clear" w:pos="709"/>
          <w:tab w:val="left" w:pos="709" w:leader="none"/>
        </w:tabs>
        <w:bidi w:val="0"/>
        <w:ind w:hanging="283" w:start="709"/>
        <w:rPr/>
      </w:pPr>
      <w:r>
        <w:rPr>
          <w:b/>
        </w:rPr>
        <w:t>Risk:</w:t>
      </w:r>
      <w:r>
        <w:rPr/>
        <w:t xml:space="preserve"> Medical outcomes, infection control, doctor retention, payer renegotiation, pricing regulation, delayed schemes, and concentration by hospital or region.</w:t>
      </w:r>
    </w:p>
    <w:p>
      <w:pPr>
        <w:pStyle w:val="BodyText"/>
        <w:bidi w:val="0"/>
        <w:rPr/>
      </w:pPr>
      <w:r>
        <w:rPr>
          <w:b/>
        </w:rPr>
        <w:t>Illustrative hospital investment:</w:t>
      </w:r>
      <w:r>
        <w:rPr/>
        <w:t xml:space="preserve"> A 250-bed new facility costs ₹750 crore including land/equipment. If mature occupancy is 65% and ARPOB ₹55,000, annual inpatient revenue would be roughly ₹326 crore (</w:t>
      </w:r>
      <w:r>
        <w:rPr>
          <w:rFonts w:ascii="Liberation Mono" w:hAnsi="Liberation Mono"/>
        </w:rPr>
        <w:t>250 × 365 × 65% × ₹55,000</w:t>
      </w:r>
      <w:r>
        <w:rPr/>
        <w:t xml:space="preserve">). Add outpatient revenue, then subtract clinician, consumables, staff and overhead cost. At 20% EBITDA on ₹400 crore </w:t>
      </w:r>
      <w:r>
        <w:rPr>
          <w:i/>
        </w:rPr>
        <w:t>total</w:t>
      </w:r>
      <w:r>
        <w:rPr/>
        <w:t xml:space="preserve"> revenue, ₹80 crore EBITDA is an 11% pre-depreciation yield on ₹750 crore. A 25% EBITDA margin could still fail the return hurdle if construction or ramp takes longer. All figures illustrative.</w:t>
      </w:r>
    </w:p>
    <w:p>
      <w:pPr>
        <w:pStyle w:val="Heading3"/>
        <w:bidi w:val="0"/>
        <w:ind w:hanging="0" w:start="0"/>
        <w:rPr/>
      </w:pPr>
      <w:r>
        <w:rPr/>
        <w:t>Listed hospital map</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Name</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The asset and specialty angle</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Principal debate</w:t>
            </w:r>
          </w:p>
        </w:tc>
      </w:tr>
      <w:tr>
        <w:trPr/>
        <w:tc>
          <w:tcPr>
            <w:tcW w:w="3212" w:type="dxa"/>
            <w:tcBorders>
              <w:start w:val="single" w:sz="4" w:space="0" w:color="000000"/>
              <w:bottom w:val="single" w:sz="4" w:space="0" w:color="000000"/>
            </w:tcBorders>
          </w:tcPr>
          <w:p>
            <w:pPr>
              <w:pStyle w:val="TableContents"/>
              <w:bidi w:val="0"/>
              <w:rPr/>
            </w:pPr>
            <w:r>
              <w:rPr>
                <w:b/>
              </w:rPr>
              <w:t>Apollo Hospitals Enterprise</w:t>
            </w:r>
          </w:p>
        </w:tc>
        <w:tc>
          <w:tcPr>
            <w:tcW w:w="3213" w:type="dxa"/>
            <w:tcBorders>
              <w:start w:val="single" w:sz="4" w:space="0" w:color="000000"/>
              <w:bottom w:val="single" w:sz="4" w:space="0" w:color="000000"/>
            </w:tcBorders>
          </w:tcPr>
          <w:p>
            <w:pPr>
              <w:pStyle w:val="TableContents"/>
              <w:bidi w:val="0"/>
              <w:rPr/>
            </w:pPr>
            <w:r>
              <w:rPr/>
              <w:t xml:space="preserve">National tertiary hospitals alongside pharmacy/health platform and other services; see </w:t>
            </w:r>
            <w:hyperlink r:id="rId14">
              <w:r>
                <w:rPr>
                  <w:rStyle w:val="Hyperlink"/>
                </w:rPr>
                <w:t>investor materials</w:t>
              </w:r>
            </w:hyperlink>
            <w:r>
              <w:rPr/>
              <w: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Separate hospital earnings and capex from the retail/digital platform; evaluate return on new hospital beds.</w:t>
            </w:r>
          </w:p>
        </w:tc>
      </w:tr>
      <w:tr>
        <w:trPr/>
        <w:tc>
          <w:tcPr>
            <w:tcW w:w="3212" w:type="dxa"/>
            <w:tcBorders>
              <w:start w:val="single" w:sz="4" w:space="0" w:color="000000"/>
              <w:bottom w:val="single" w:sz="4" w:space="0" w:color="000000"/>
            </w:tcBorders>
          </w:tcPr>
          <w:p>
            <w:pPr>
              <w:pStyle w:val="TableContents"/>
              <w:bidi w:val="0"/>
              <w:rPr/>
            </w:pPr>
            <w:r>
              <w:rPr>
                <w:b/>
              </w:rPr>
              <w:t>Max Healthcare Institute</w:t>
            </w:r>
          </w:p>
        </w:tc>
        <w:tc>
          <w:tcPr>
            <w:tcW w:w="3213" w:type="dxa"/>
            <w:tcBorders>
              <w:start w:val="single" w:sz="4" w:space="0" w:color="000000"/>
              <w:bottom w:val="single" w:sz="4" w:space="0" w:color="000000"/>
            </w:tcBorders>
          </w:tcPr>
          <w:p>
            <w:pPr>
              <w:pStyle w:val="TableContents"/>
              <w:bidi w:val="0"/>
              <w:rPr/>
            </w:pPr>
            <w:r>
              <w:rPr/>
              <w:t xml:space="preserve">Metro/urban tertiary and quaternary hospital concentration with premium complex case mix; see </w:t>
            </w:r>
            <w:hyperlink r:id="rId15">
              <w:r>
                <w:rPr>
                  <w:rStyle w:val="Hyperlink"/>
                </w:rPr>
                <w:t>financials</w:t>
              </w:r>
            </w:hyperlink>
            <w:r>
              <w:rPr/>
              <w: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Can new and acquired beds match mature flagship throughput and returns at the capital paid?</w:t>
            </w:r>
          </w:p>
        </w:tc>
      </w:tr>
      <w:tr>
        <w:trPr/>
        <w:tc>
          <w:tcPr>
            <w:tcW w:w="3212" w:type="dxa"/>
            <w:tcBorders>
              <w:start w:val="single" w:sz="4" w:space="0" w:color="000000"/>
              <w:bottom w:val="single" w:sz="4" w:space="0" w:color="000000"/>
            </w:tcBorders>
          </w:tcPr>
          <w:p>
            <w:pPr>
              <w:pStyle w:val="TableContents"/>
              <w:bidi w:val="0"/>
              <w:rPr/>
            </w:pPr>
            <w:r>
              <w:rPr>
                <w:b/>
              </w:rPr>
              <w:t>Fortis Healthcare</w:t>
            </w:r>
          </w:p>
        </w:tc>
        <w:tc>
          <w:tcPr>
            <w:tcW w:w="3213" w:type="dxa"/>
            <w:tcBorders>
              <w:start w:val="single" w:sz="4" w:space="0" w:color="000000"/>
              <w:bottom w:val="single" w:sz="4" w:space="0" w:color="000000"/>
            </w:tcBorders>
          </w:tcPr>
          <w:p>
            <w:pPr>
              <w:pStyle w:val="TableContents"/>
              <w:bidi w:val="0"/>
              <w:jc w:val="start"/>
              <w:rPr/>
            </w:pPr>
            <w:r>
              <w:rPr/>
              <w:t>Multicity hospitals plus Agilus Diagnostics.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How much of improvement is hospital operating performance versus mix, asset changes and diagnostics?</w:t>
            </w:r>
          </w:p>
        </w:tc>
      </w:tr>
      <w:tr>
        <w:trPr/>
        <w:tc>
          <w:tcPr>
            <w:tcW w:w="3212" w:type="dxa"/>
            <w:tcBorders>
              <w:start w:val="single" w:sz="4" w:space="0" w:color="000000"/>
              <w:bottom w:val="single" w:sz="4" w:space="0" w:color="000000"/>
            </w:tcBorders>
          </w:tcPr>
          <w:p>
            <w:pPr>
              <w:pStyle w:val="TableContents"/>
              <w:bidi w:val="0"/>
              <w:rPr/>
            </w:pPr>
            <w:r>
              <w:rPr>
                <w:b/>
              </w:rPr>
              <w:t>Narayana Hrudayalaya / Narayana Health</w:t>
            </w:r>
          </w:p>
        </w:tc>
        <w:tc>
          <w:tcPr>
            <w:tcW w:w="3213" w:type="dxa"/>
            <w:tcBorders>
              <w:start w:val="single" w:sz="4" w:space="0" w:color="000000"/>
              <w:bottom w:val="single" w:sz="4" w:space="0" w:color="000000"/>
            </w:tcBorders>
          </w:tcPr>
          <w:p>
            <w:pPr>
              <w:pStyle w:val="TableContents"/>
              <w:bidi w:val="0"/>
              <w:rPr/>
            </w:pPr>
            <w:r>
              <w:rPr/>
              <w:t xml:space="preserve">High-volume, relatively affordable multi-specialty care with a distinct Cayman Islands business; see </w:t>
            </w:r>
            <w:hyperlink r:id="rId16">
              <w:r>
                <w:rPr>
                  <w:rStyle w:val="Hyperlink"/>
                </w:rPr>
                <w:t>company updates</w:t>
              </w:r>
            </w:hyperlink>
            <w:r>
              <w:rPr/>
              <w: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Keep India and Cayman margins/ARPOB separate; evaluate throughput and unit cost rather than headline price.</w:t>
            </w:r>
          </w:p>
        </w:tc>
      </w:tr>
      <w:tr>
        <w:trPr/>
        <w:tc>
          <w:tcPr>
            <w:tcW w:w="3212" w:type="dxa"/>
            <w:tcBorders>
              <w:start w:val="single" w:sz="4" w:space="0" w:color="000000"/>
              <w:bottom w:val="single" w:sz="4" w:space="0" w:color="000000"/>
            </w:tcBorders>
          </w:tcPr>
          <w:p>
            <w:pPr>
              <w:pStyle w:val="TableContents"/>
              <w:bidi w:val="0"/>
              <w:rPr/>
            </w:pPr>
            <w:r>
              <w:rPr>
                <w:b/>
              </w:rPr>
              <w:t>KIMS (Krishna Institute of Medical Sciences)</w:t>
            </w:r>
          </w:p>
        </w:tc>
        <w:tc>
          <w:tcPr>
            <w:tcW w:w="3213" w:type="dxa"/>
            <w:tcBorders>
              <w:start w:val="single" w:sz="4" w:space="0" w:color="000000"/>
              <w:bottom w:val="single" w:sz="4" w:space="0" w:color="000000"/>
            </w:tcBorders>
          </w:tcPr>
          <w:p>
            <w:pPr>
              <w:pStyle w:val="TableContents"/>
              <w:bidi w:val="0"/>
              <w:rPr/>
            </w:pPr>
            <w:r>
              <w:rPr/>
              <w:t xml:space="preserve">Large south-led network combining Hyderabad with tier-2 and tier-3 facilities; </w:t>
            </w:r>
            <w:hyperlink r:id="rId17">
              <w:r>
                <w:rPr>
                  <w:rStyle w:val="Hyperlink"/>
                </w:rPr>
                <w:t>company investor page</w:t>
              </w:r>
            </w:hyperlink>
            <w:r>
              <w:rPr/>
              <w: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Can the doctor-led local model and returns travel into new states and acquisitions?</w:t>
            </w:r>
          </w:p>
        </w:tc>
      </w:tr>
      <w:tr>
        <w:trPr/>
        <w:tc>
          <w:tcPr>
            <w:tcW w:w="3212" w:type="dxa"/>
            <w:tcBorders>
              <w:start w:val="single" w:sz="4" w:space="0" w:color="000000"/>
              <w:bottom w:val="single" w:sz="4" w:space="0" w:color="000000"/>
            </w:tcBorders>
          </w:tcPr>
          <w:p>
            <w:pPr>
              <w:pStyle w:val="TableContents"/>
              <w:bidi w:val="0"/>
              <w:rPr/>
            </w:pPr>
            <w:r>
              <w:rPr>
                <w:b/>
              </w:rPr>
              <w:t>Global Health / Medanta</w:t>
            </w:r>
          </w:p>
        </w:tc>
        <w:tc>
          <w:tcPr>
            <w:tcW w:w="3213" w:type="dxa"/>
            <w:tcBorders>
              <w:start w:val="single" w:sz="4" w:space="0" w:color="000000"/>
              <w:bottom w:val="single" w:sz="4" w:space="0" w:color="000000"/>
            </w:tcBorders>
          </w:tcPr>
          <w:p>
            <w:pPr>
              <w:pStyle w:val="TableContents"/>
              <w:bidi w:val="0"/>
              <w:rPr/>
            </w:pPr>
            <w:r>
              <w:rPr/>
              <w:t xml:space="preserve">Complex tertiary care centered on flagship and developing hospitals; </w:t>
            </w:r>
            <w:hyperlink r:id="rId18">
              <w:r>
                <w:rPr>
                  <w:rStyle w:val="Hyperlink"/>
                </w:rPr>
                <w:t>financials</w:t>
              </w:r>
            </w:hyperlink>
            <w:r>
              <w:rPr/>
              <w: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Separate mature versus new-hospital cohorts; compare case mix, utilization and expansion capex.</w:t>
            </w:r>
          </w:p>
        </w:tc>
      </w:tr>
      <w:tr>
        <w:trPr/>
        <w:tc>
          <w:tcPr>
            <w:tcW w:w="3212" w:type="dxa"/>
            <w:tcBorders>
              <w:start w:val="single" w:sz="4" w:space="0" w:color="000000"/>
              <w:bottom w:val="single" w:sz="4" w:space="0" w:color="000000"/>
            </w:tcBorders>
          </w:tcPr>
          <w:p>
            <w:pPr>
              <w:pStyle w:val="TableContents"/>
              <w:bidi w:val="0"/>
              <w:rPr/>
            </w:pPr>
            <w:r>
              <w:rPr>
                <w:b/>
              </w:rPr>
              <w:t>Rainbow Children's Medicare</w:t>
            </w:r>
          </w:p>
        </w:tc>
        <w:tc>
          <w:tcPr>
            <w:tcW w:w="3213" w:type="dxa"/>
            <w:tcBorders>
              <w:start w:val="single" w:sz="4" w:space="0" w:color="000000"/>
              <w:bottom w:val="single" w:sz="4" w:space="0" w:color="000000"/>
            </w:tcBorders>
          </w:tcPr>
          <w:p>
            <w:pPr>
              <w:pStyle w:val="TableContents"/>
              <w:bidi w:val="0"/>
              <w:rPr/>
            </w:pPr>
            <w:r>
              <w:rPr/>
              <w:t xml:space="preserve">Pediatrics, neonatal and maternity specialization; </w:t>
            </w:r>
            <w:hyperlink r:id="rId19">
              <w:r>
                <w:rPr>
                  <w:rStyle w:val="Hyperlink"/>
                </w:rPr>
                <w:t>investor materials</w:t>
              </w:r>
            </w:hyperlink>
            <w:r>
              <w:rPr/>
              <w: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Is the clinician network and high-acuity pediatric referral base replicable in newer markets?</w:t>
            </w:r>
          </w:p>
        </w:tc>
      </w:tr>
      <w:tr>
        <w:trPr/>
        <w:tc>
          <w:tcPr>
            <w:tcW w:w="3212" w:type="dxa"/>
            <w:tcBorders>
              <w:start w:val="single" w:sz="4" w:space="0" w:color="000000"/>
              <w:bottom w:val="single" w:sz="4" w:space="0" w:color="000000"/>
            </w:tcBorders>
          </w:tcPr>
          <w:p>
            <w:pPr>
              <w:pStyle w:val="TableContents"/>
              <w:bidi w:val="0"/>
              <w:rPr/>
            </w:pPr>
            <w:r>
              <w:rPr>
                <w:b/>
              </w:rPr>
              <w:t>HCG</w:t>
            </w:r>
          </w:p>
        </w:tc>
        <w:tc>
          <w:tcPr>
            <w:tcW w:w="3213" w:type="dxa"/>
            <w:tcBorders>
              <w:start w:val="single" w:sz="4" w:space="0" w:color="000000"/>
              <w:bottom w:val="single" w:sz="4" w:space="0" w:color="000000"/>
            </w:tcBorders>
          </w:tcPr>
          <w:p>
            <w:pPr>
              <w:pStyle w:val="TableContents"/>
              <w:bidi w:val="0"/>
              <w:rPr/>
            </w:pPr>
            <w:r>
              <w:rPr/>
              <w:t xml:space="preserve">Cancer hospitals with medical, surgical and radiation oncology; </w:t>
            </w:r>
            <w:hyperlink r:id="rId20">
              <w:r>
                <w:rPr>
                  <w:rStyle w:val="Hyperlink"/>
                </w:rPr>
                <w:t>investor materials</w:t>
              </w:r>
            </w:hyperlink>
            <w:r>
              <w:rPr/>
              <w: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Radiation equipment requires volume and periodic replacement; drug-heavy oncology revenue may have a different gross margin from surgery/radiotherapy.</w:t>
            </w:r>
          </w:p>
        </w:tc>
      </w:tr>
      <w:tr>
        <w:trPr/>
        <w:tc>
          <w:tcPr>
            <w:tcW w:w="3212" w:type="dxa"/>
            <w:tcBorders>
              <w:start w:val="single" w:sz="4" w:space="0" w:color="000000"/>
              <w:bottom w:val="single" w:sz="4" w:space="0" w:color="000000"/>
            </w:tcBorders>
          </w:tcPr>
          <w:p>
            <w:pPr>
              <w:pStyle w:val="TableContents"/>
              <w:bidi w:val="0"/>
              <w:rPr/>
            </w:pPr>
            <w:r>
              <w:rPr>
                <w:b/>
              </w:rPr>
              <w:t>Aster DM Healthcare, Jupiter Life Line, Shalby</w:t>
            </w:r>
          </w:p>
        </w:tc>
        <w:tc>
          <w:tcPr>
            <w:tcW w:w="3213" w:type="dxa"/>
            <w:tcBorders>
              <w:start w:val="single" w:sz="4" w:space="0" w:color="000000"/>
              <w:bottom w:val="single" w:sz="4" w:space="0" w:color="000000"/>
            </w:tcBorders>
          </w:tcPr>
          <w:p>
            <w:pPr>
              <w:pStyle w:val="TableContents"/>
              <w:bidi w:val="0"/>
              <w:jc w:val="start"/>
              <w:rPr/>
            </w:pPr>
            <w:r>
              <w:rPr/>
              <w:t>India hospital network, metro-focused regional hospitals and an orthopedic-rooted hospital network, respectively.</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Compare the core hospital cohort and actual geographic mix before using peer ARPOB multiples.</w:t>
            </w:r>
          </w:p>
        </w:tc>
      </w:tr>
    </w:tbl>
    <w:p>
      <w:pPr>
        <w:pStyle w:val="BodyText"/>
        <w:bidi w:val="0"/>
        <w:rPr/>
      </w:pPr>
      <w:r>
        <w:rPr/>
      </w:r>
    </w:p>
    <w:p>
      <w:pPr>
        <w:pStyle w:val="BodyText"/>
        <w:bidi w:val="0"/>
        <w:rPr/>
      </w:pPr>
      <w:r>
        <w:rPr>
          <w:b/>
        </w:rPr>
        <w:t>Relative valuation:</w:t>
      </w:r>
      <w:r>
        <w:rPr/>
        <w:t xml:space="preserve"> A hospital with high current EBITDA but a very large commissioned-bed pipeline may deserve a lower current free-cash yield during ramp, provided the future sites clear the hurdle. Compare EV/EBITDA with owned versus leased property, minority interest, acquisition debt, hospital maturity and maintenance capex. A high ARPOB stock is not automatically a better investment.</w:t>
      </w:r>
    </w:p>
    <w:p>
      <w:pPr>
        <w:pStyle w:val="Heading2"/>
        <w:bidi w:val="0"/>
        <w:ind w:hanging="0" w:start="0"/>
        <w:rPr/>
      </w:pPr>
      <w:r>
        <w:rPr/>
        <w:t>4. NephroPlus: invest in repeat treatments and procurement discipline, challenge the quality of the mix-driven growth</w:t>
      </w:r>
    </w:p>
    <w:p>
      <w:pPr>
        <w:pStyle w:val="Heading3"/>
        <w:bidi w:val="0"/>
        <w:ind w:hanging="0" w:start="0"/>
        <w:rPr/>
      </w:pPr>
      <w:r>
        <w:rPr/>
        <w:t>Identity and clinical demand</w:t>
      </w:r>
    </w:p>
    <w:p>
      <w:pPr>
        <w:pStyle w:val="BodyText"/>
        <w:bidi w:val="0"/>
        <w:rPr/>
      </w:pPr>
      <w:r>
        <w:rPr/>
        <w:t xml:space="preserve">The stock is </w:t>
      </w:r>
      <w:r>
        <w:rPr>
          <w:b/>
        </w:rPr>
        <w:t>Nephrocare Health Services Limited, NSE: NEPHROPLUS</w:t>
      </w:r>
      <w:r>
        <w:rPr/>
        <w:t xml:space="preserve">, which trades under the </w:t>
      </w:r>
      <w:r>
        <w:rPr>
          <w:b/>
        </w:rPr>
        <w:t>NephroPlus</w:t>
      </w:r>
      <w:r>
        <w:rPr/>
        <w:t xml:space="preserve"> brand. It is separate from </w:t>
      </w:r>
      <w:r>
        <w:rPr>
          <w:b/>
        </w:rPr>
        <w:t>Nephro Care India Limited</w:t>
      </w:r>
      <w:r>
        <w:rPr/>
        <w:t xml:space="preserve">, a Kolkata-focused listed entity. NephroPlus's </w:t>
      </w:r>
      <w:hyperlink r:id="rId21">
        <w:r>
          <w:rPr>
            <w:rStyle w:val="Hyperlink"/>
          </w:rPr>
          <w:t>investor page</w:t>
        </w:r>
      </w:hyperlink>
      <w:r>
        <w:rPr/>
        <w:t xml:space="preserve"> describes hospital-based, standalone and government-partnered dialysis clinics. End-stage kidney patients who cannot receive a transplant generally need recurring dialysis. A common in-center hemodialysis schedule is about three sessions weekly, but actual utilization and adherence vary by patient and access. Geography, reliable care, infection control and nephrologist referral help patients stay with a center; patients can switch, die, receive a transplant or reduce sessions.</w:t>
      </w:r>
    </w:p>
    <w:p>
      <w:pPr>
        <w:pStyle w:val="BodyText"/>
        <w:bidi w:val="0"/>
        <w:rPr/>
      </w:pPr>
      <w:r>
        <w:rPr/>
        <w:t>A session filters blood through a dialyzer. The operator needs a machine, treated water and maintenance, a nurse/technician, clinical supervision, dialyzer/tubing and other consumables, and a suitable chair/bed. Standardized procurement and clinical protocols matter because consumables and people recur at every treatment. Never describe reuse of dialyzers as a free cost saving: infection controls, patient consent, traceability and medical outcomes are the constraint.</w:t>
      </w:r>
    </w:p>
    <w:p>
      <w:pPr>
        <w:pStyle w:val="Heading3"/>
        <w:bidi w:val="0"/>
        <w:ind w:hanging="0" w:start="0"/>
        <w:rPr/>
      </w:pPr>
      <w:r>
        <w:rPr/>
        <w:t>Three contractual models and the profit equation</w:t>
      </w:r>
    </w:p>
    <w:p>
      <w:pPr>
        <w:pStyle w:val="BodyText"/>
        <w:bidi w:val="0"/>
        <w:rPr/>
      </w:pPr>
      <w:r>
        <w:rPr/>
        <w:t xml:space="preserve">The </w:t>
      </w:r>
      <w:hyperlink r:id="rId22">
        <w:r>
          <w:rPr>
            <w:rStyle w:val="Hyperlink"/>
          </w:rPr>
          <w:t>FY26 presentation</w:t>
        </w:r>
      </w:hyperlink>
      <w:r>
        <w:rPr/>
        <w:t xml:space="preserve"> lists </w:t>
      </w:r>
      <w:r>
        <w:rPr>
          <w:b/>
        </w:rPr>
        <w:t>272 captive clinics in private/trust hospitals, 182 PPP clinics in government hospitals and 70 standalone clinics</w:t>
      </w:r>
      <w:r>
        <w:rPr/>
        <w:t xml:space="preserve"> at 31 March 2026, totaling 524. In captive sites, hospitals supply space and patient access and take a revenue share; the precise commercial responsibilities depend on the contract. PPP sites face negotiated/tender reimbursement and renewal; standalone sites pay rent and must build referral flow. Captive clinics can avoid consumer acquisition and land cost but transfer economics to the hospital. PPP volume can be attractive while price, payment delay and contract renewals limit returns. Standalone clinics retain more of the fee but bear rent and demand risk.</w:t>
      </w:r>
    </w:p>
    <w:p>
      <w:pPr>
        <w:pStyle w:val="BodyText"/>
        <w:bidi w:val="0"/>
        <w:rPr/>
      </w:pPr>
      <w:r>
        <w:rPr>
          <w:rFonts w:ascii="Liberation Mono" w:hAnsi="Liberation Mono"/>
        </w:rPr>
        <w:t>Clinic contribution = sessions × (net realization per session − consumables − direct clinical staff per session − hospital revenue share/variable fee) − fixed nurses/site cost − rent/service/maintenance</w:t>
      </w:r>
      <w:r>
        <w:rPr/>
        <w:t>. Allocate corporate costs, depreciation, taxes, replacement machines and working capital before calling it shareholder cash.</w:t>
      </w:r>
    </w:p>
    <w:p>
      <w:pPr>
        <w:pStyle w:val="BodyText"/>
        <w:bidi w:val="0"/>
        <w:rPr/>
      </w:pPr>
      <w:r>
        <w:rPr>
          <w:b/>
        </w:rPr>
        <w:t>Illustrative machine math:</w:t>
      </w:r>
      <w:r>
        <w:rPr/>
        <w:t xml:space="preserve"> Five machines × three sessions a day × 26 operating days = 390 theoretical monthly sessions. At 65% utilization, 254 are delivered. If net contribution after variable consumables and partner share is ₹1,000 per session, monthly contribution is ₹2.54 lakh before site fixed costs. A ₹1.8 lakh fixed bill leaves ₹0.74 lakh before depreciation and tax. A modest change in site density can therefore move margins sharply. These are teaching assumptions, not NephroPlus-disclosed machine utilization or economics.</w:t>
      </w:r>
    </w:p>
    <w:p>
      <w:pPr>
        <w:pStyle w:val="Heading3"/>
        <w:bidi w:val="0"/>
        <w:ind w:hanging="0" w:start="0"/>
        <w:rPr/>
      </w:pPr>
      <w:r>
        <w:rPr/>
        <w:t>The reported evidence through Q1 FY27</w:t>
      </w:r>
    </w:p>
    <w:p>
      <w:pPr>
        <w:pStyle w:val="BodyText"/>
        <w:bidi w:val="0"/>
        <w:rPr/>
      </w:pPr>
      <w:r>
        <w:rPr/>
        <w:t xml:space="preserve">The </w:t>
      </w:r>
      <w:hyperlink r:id="rId23">
        <w:r>
          <w:rPr>
            <w:rStyle w:val="Hyperlink"/>
          </w:rPr>
          <w:t>FY26 issuer presentation</w:t>
        </w:r>
      </w:hyperlink>
      <w:r>
        <w:rPr/>
        <w:t xml:space="preserve"> reports revenue </w:t>
      </w:r>
      <w:r>
        <w:rPr>
          <w:b/>
        </w:rPr>
        <w:t>₹998.8 crore</w:t>
      </w:r>
      <w:r>
        <w:rPr/>
        <w:t xml:space="preserve">, </w:t>
      </w:r>
      <w:r>
        <w:rPr>
          <w:b/>
        </w:rPr>
        <w:t>3.845 million treatments</w:t>
      </w:r>
      <w:r>
        <w:rPr/>
        <w:t xml:space="preserve">, </w:t>
      </w:r>
      <w:r>
        <w:rPr>
          <w:b/>
        </w:rPr>
        <w:t>₹2,598 revenue per treatment (RPT)</w:t>
      </w:r>
      <w:r>
        <w:rPr/>
        <w:t xml:space="preserve">, </w:t>
      </w:r>
      <w:r>
        <w:rPr>
          <w:b/>
        </w:rPr>
        <w:t>₹238.1 crore adjusted EBITDA</w:t>
      </w:r>
      <w:r>
        <w:rPr/>
        <w:t xml:space="preserve"> and </w:t>
      </w:r>
      <w:r>
        <w:rPr>
          <w:b/>
        </w:rPr>
        <w:t>₹227.0 crore reported EBITDA</w:t>
      </w:r>
      <w:r>
        <w:rPr/>
        <w:t xml:space="preserve">. FY25 comparators were ₹755.8 crore revenue, 3.297 million treatments and ₹2,292 RPT. Hence FY26 revenue grew </w:t>
      </w:r>
      <w:r>
        <w:rPr>
          <w:b/>
        </w:rPr>
        <w:t>32.2%</w:t>
      </w:r>
      <w:r>
        <w:rPr/>
        <w:t xml:space="preserve">, sessions </w:t>
      </w:r>
      <w:r>
        <w:rPr>
          <w:b/>
        </w:rPr>
        <w:t>16.6%</w:t>
      </w:r>
      <w:r>
        <w:rPr/>
        <w:t xml:space="preserve"> and blended RPT </w:t>
      </w:r>
      <w:r>
        <w:rPr>
          <w:b/>
        </w:rPr>
        <w:t>13.3%</w:t>
      </w:r>
      <w:r>
        <w:rPr/>
        <w:t xml:space="preserve">. Outside-India revenue grew as a proportion of the group from </w:t>
      </w:r>
      <w:r>
        <w:rPr>
          <w:b/>
        </w:rPr>
        <w:t>31.8% to 41.8%</w:t>
      </w:r>
      <w:r>
        <w:rPr/>
        <w:t xml:space="preserve">. The correct inference is stronger volume </w:t>
      </w:r>
      <w:r>
        <w:rPr>
          <w:i/>
        </w:rPr>
        <w:t>and</w:t>
      </w:r>
      <w:r>
        <w:rPr/>
        <w:t xml:space="preserve"> higher-priced geographic mix; the 13.3% blended RPT gain does </w:t>
      </w:r>
      <w:r>
        <w:rPr>
          <w:b/>
        </w:rPr>
        <w:t>not</w:t>
      </w:r>
      <w:r>
        <w:rPr/>
        <w:t xml:space="preserve"> establish a 13.3% same-country tariff increase.</w:t>
      </w:r>
    </w:p>
    <w:p>
      <w:pPr>
        <w:pStyle w:val="BodyText"/>
        <w:bidi w:val="0"/>
        <w:rPr/>
      </w:pPr>
      <w:r>
        <w:rPr/>
        <w:t xml:space="preserve">At 31 March 2026 the group reported </w:t>
      </w:r>
      <w:r>
        <w:rPr>
          <w:b/>
        </w:rPr>
        <w:t>468 India clinics and 56 outside India</w:t>
      </w:r>
      <w:r>
        <w:rPr/>
        <w:t xml:space="preserve">. The FY26 deck shows approximately </w:t>
      </w:r>
      <w:r>
        <w:rPr>
          <w:b/>
        </w:rPr>
        <w:t>3.3 million India treatments and 0.6 million international treatments</w:t>
      </w:r>
      <w:r>
        <w:rPr/>
        <w:t xml:space="preserve">, while outside India produced about </w:t>
      </w:r>
      <w:r>
        <w:rPr>
          <w:b/>
        </w:rPr>
        <w:t>42% of sales</w:t>
      </w:r>
      <w:r>
        <w:rPr/>
        <w:t xml:space="preserve">. These rounded disclosures explain the revenue mix. The group called its adjusted ROCE </w:t>
      </w:r>
      <w:r>
        <w:rPr>
          <w:b/>
        </w:rPr>
        <w:t>22.8%</w:t>
      </w:r>
      <w:r>
        <w:rPr/>
        <w:t xml:space="preserve">, which excludes certain Saudi and ESOP costs; calculate an unadjusted return on all acquisition and operating capital for an investment decision. FY26 operating cash flow was </w:t>
      </w:r>
      <w:r>
        <w:rPr>
          <w:b/>
        </w:rPr>
        <w:t>₹232.6 crore</w:t>
      </w:r>
      <w:r>
        <w:rPr/>
        <w:t xml:space="preserve">, against </w:t>
      </w:r>
      <w:r>
        <w:rPr>
          <w:b/>
        </w:rPr>
        <w:t>₹410.4 crore net investing outflow</w:t>
      </w:r>
      <w:r>
        <w:rPr/>
        <w:t xml:space="preserve">. That investing number includes more than routine machine replacement and should not be mislabeled maintenance capex. Reported FY26 PAT was </w:t>
      </w:r>
      <w:r>
        <w:rPr>
          <w:b/>
        </w:rPr>
        <w:t>₹76.8 crore</w:t>
      </w:r>
      <w:r>
        <w:rPr/>
        <w:t xml:space="preserve">, versus management-adjusted PAT </w:t>
      </w:r>
      <w:r>
        <w:rPr>
          <w:b/>
        </w:rPr>
        <w:t>₹128.3 crore</w:t>
      </w:r>
      <w:r>
        <w:rPr/>
        <w:t xml:space="preserve">, with a </w:t>
      </w:r>
      <w:r>
        <w:rPr>
          <w:b/>
        </w:rPr>
        <w:t>₹37.2 crore adjustment for CCPS-related finance cost</w:t>
      </w:r>
      <w:r>
        <w:rPr/>
        <w:t xml:space="preserve"> and other adjustments. Reconcile which costs recur before valuing EPS. Sources: </w:t>
      </w:r>
      <w:hyperlink r:id="rId24">
        <w:r>
          <w:rPr>
            <w:rStyle w:val="Hyperlink"/>
          </w:rPr>
          <w:t>FY26 operating and financial tables</w:t>
        </w:r>
      </w:hyperlink>
      <w:r>
        <w:rPr/>
        <w:t>, pp. 7–12, 32, 43.</w:t>
      </w:r>
    </w:p>
    <w:p>
      <w:pPr>
        <w:pStyle w:val="BodyText"/>
        <w:bidi w:val="0"/>
        <w:rPr/>
      </w:pPr>
      <w:r>
        <w:rPr/>
        <w:t xml:space="preserve">The company's </w:t>
      </w:r>
      <w:hyperlink r:id="rId25">
        <w:r>
          <w:rPr>
            <w:rStyle w:val="Hyperlink"/>
          </w:rPr>
          <w:t>Q1 FY27 results release of 11 August 2026</w:t>
        </w:r>
      </w:hyperlink>
      <w:r>
        <w:rPr/>
        <w:t xml:space="preserve"> reported </w:t>
      </w:r>
      <w:r>
        <w:rPr>
          <w:b/>
        </w:rPr>
        <w:t>₹281.8 crore revenue (+23.7%)</w:t>
      </w:r>
      <w:r>
        <w:rPr/>
        <w:t xml:space="preserve">, </w:t>
      </w:r>
      <w:r>
        <w:rPr>
          <w:b/>
        </w:rPr>
        <w:t>1.031 million treatments (+13.3%)</w:t>
      </w:r>
      <w:r>
        <w:rPr/>
        <w:t xml:space="preserve">, </w:t>
      </w:r>
      <w:r>
        <w:rPr>
          <w:b/>
        </w:rPr>
        <w:t>₹2,733 RPT (+9.2%)</w:t>
      </w:r>
      <w:r>
        <w:rPr/>
        <w:t xml:space="preserve"> and </w:t>
      </w:r>
      <w:r>
        <w:rPr>
          <w:b/>
        </w:rPr>
        <w:t>₹65.1 crore adjusted EBITDA (+30.7%)</w:t>
      </w:r>
      <w:r>
        <w:rPr/>
        <w:t xml:space="preserve">. It reported </w:t>
      </w:r>
      <w:r>
        <w:rPr>
          <w:b/>
        </w:rPr>
        <w:t>550 clinics across five countries</w:t>
      </w:r>
      <w:r>
        <w:rPr/>
        <w:t xml:space="preserve"> and </w:t>
      </w:r>
      <w:r>
        <w:rPr>
          <w:b/>
        </w:rPr>
        <w:t>38,262 period-end patients</w:t>
      </w:r>
      <w:r>
        <w:rPr/>
        <w:t>. Reported data again show sessions growing and RPT rising, but RPT still combines within-market tariffs and geographic/payer mix. Obtain the country split before projecting 9.2% price growth.</w:t>
      </w:r>
    </w:p>
    <w:p>
      <w:pPr>
        <w:pStyle w:val="Heading3"/>
        <w:bidi w:val="0"/>
        <w:ind w:hanging="0" w:start="0"/>
        <w:rPr/>
      </w:pPr>
      <w:r>
        <w:rPr/>
        <w:t>The investment thesis worth defending</w:t>
      </w:r>
    </w:p>
    <w:p>
      <w:pPr>
        <w:pStyle w:val="BodyText"/>
        <w:bidi w:val="0"/>
        <w:rPr/>
      </w:pPr>
      <w:r>
        <w:rPr>
          <w:b/>
        </w:rPr>
        <w:t>Hypothesis:</w:t>
      </w:r>
      <w:r>
        <w:rPr/>
        <w:t xml:space="preserve"> NephroPlus can consolidate a fragmented, recurring dialysis market at returns above its cost of capital by placing compact clinics within existing hospitals and government networks, standardizing consumables and nursing training, and using the India cost base to operate in higher-tariff overseas markets. It has demonstrated growing treatments, scale procurement and positive operating cash flow. Its international mix provides a credible explanation for group RPT growth. This is a </w:t>
      </w:r>
      <w:r>
        <w:rPr>
          <w:i/>
        </w:rPr>
        <w:t>conditional long thesis</w:t>
      </w:r>
      <w:r>
        <w:rPr/>
        <w:t>, pending valuation and country-level returns, not an unconditional stock recommendation.</w:t>
      </w:r>
    </w:p>
    <w:p>
      <w:pPr>
        <w:pStyle w:val="BodyText"/>
        <w:bidi w:val="0"/>
        <w:rPr/>
      </w:pPr>
      <w:r>
        <w:rPr>
          <w:b/>
        </w:rPr>
        <w:t>What would make the long work:</w:t>
      </w:r>
      <w:r>
        <w:rPr/>
        <w:t xml:space="preserve"> (1) existing-clinic sessions and treatments per machine continue to rise, not merely clinic count; (2) India RPT and contribution remain resilient through government contract renewals; (3) international clinics earn attractive </w:t>
      </w:r>
      <w:r>
        <w:rPr>
          <w:b/>
        </w:rPr>
        <w:t>post-acquisition, post-depreciation</w:t>
      </w:r>
      <w:r>
        <w:rPr/>
        <w:t xml:space="preserve"> returns after FX, minority interest, working capital and contract costs; (4) clinical outcomes and infection controls remain sound; (5) operating cash funds a growing fraction of new clinic and replacement spending.</w:t>
      </w:r>
    </w:p>
    <w:p>
      <w:pPr>
        <w:pStyle w:val="BodyText"/>
        <w:bidi w:val="0"/>
        <w:rPr/>
      </w:pPr>
      <w:r>
        <w:rPr>
          <w:b/>
        </w:rPr>
        <w:t>The variant perception to test:</w:t>
      </w:r>
      <w:r>
        <w:rPr/>
        <w:t xml:space="preserve"> The market may treat rising blended RPT as straightforward pricing power. The more interesting question is whether the relatively small overseas treatment base can scale profitably at a far higher realization </w:t>
      </w:r>
      <w:r>
        <w:rPr>
          <w:i/>
        </w:rPr>
        <w:t>without</w:t>
      </w:r>
      <w:r>
        <w:rPr/>
        <w:t xml:space="preserve"> consuming too much acquisition capital or creating sovereign/payment risk. The quality of growth, not merely the growth rate, sets the multiple.</w:t>
      </w:r>
    </w:p>
    <w:p>
      <w:pPr>
        <w:pStyle w:val="BodyText"/>
        <w:bidi w:val="0"/>
        <w:rPr/>
      </w:pPr>
      <w:r>
        <w:rPr>
          <w:b/>
        </w:rPr>
        <w:t>The bear case:</w:t>
      </w:r>
      <w:r>
        <w:rPr/>
        <w:t xml:space="preserve"> Government tenders can be rebid at lower reimbursement, payers can delay payment, partner hospitals can renegotiate revenue shares, nurses and nephrologists can constrain capacity, single-site density can disappoint, and overseas expansion may demand capital and country-specific management beyond what consolidated margins reveal. Better prevention, transplant access or new therapies could shift the distant demand pool; for the next few years, payer economics and execution are easier to measure. The FY26 adjusted-versus-reported earnings gap, large net investing outflow and geographic mix all justify scrutiny. A scale claim about the </w:t>
      </w:r>
      <w:r>
        <w:rPr>
          <w:b/>
        </w:rPr>
        <w:t>organized</w:t>
      </w:r>
      <w:r>
        <w:rPr/>
        <w:t xml:space="preserve"> market does not imply similar share of all Indian dialysis treatments.</w:t>
      </w:r>
    </w:p>
    <w:p>
      <w:pPr>
        <w:pStyle w:val="Heading3"/>
        <w:bidi w:val="0"/>
        <w:ind w:hanging="0" w:start="0"/>
        <w:rPr/>
      </w:pPr>
      <w:r>
        <w:rPr/>
        <w:t>Valuation without a fabricated target</w:t>
      </w:r>
    </w:p>
    <w:p>
      <w:pPr>
        <w:pStyle w:val="BodyText"/>
        <w:bidi w:val="0"/>
        <w:rPr/>
      </w:pPr>
      <w:r>
        <w:rPr/>
        <w:t xml:space="preserve">Build a three-country/channel operating model: India captive, India PPP/standalone, and international by market. For each, forecast patients, sessions per patient, site capacity/utilization, local-currency realized RPT, site margin, investment per new site, and receivable days. Add corporate expense, maintenance capex, growth capex and acquisition cash. Apply a multiple to </w:t>
      </w:r>
      <w:r>
        <w:rPr>
          <w:b/>
        </w:rPr>
        <w:t>normalized</w:t>
      </w:r>
      <w:r>
        <w:rPr/>
        <w:t xml:space="preserve"> EBITDA or a discounted cash flow using </w:t>
      </w:r>
      <w:r>
        <w:rPr>
          <w:i/>
        </w:rPr>
        <w:t>all</w:t>
      </w:r>
      <w:r>
        <w:rPr/>
        <w:t xml:space="preserve"> invested capital, net debt, leases and minority interests. Compare the resulting equity value per share to the </w:t>
      </w:r>
      <w:r>
        <w:rPr>
          <w:b/>
        </w:rPr>
        <w:t>live price at the time of your interview</w:t>
      </w:r>
      <w:r>
        <w:rPr/>
        <w:t>. A trailing PE built on FY26 adjusted PAT of ₹128.3 crore is misleading if it omits the adjustment bridge; a trailing PE on reported ₹76.8 crore also needs care because CCPS conversion may have changed the prospective finance cost. I have intentionally left out an unverified current share price.</w:t>
      </w:r>
    </w:p>
    <w:p>
      <w:pPr>
        <w:pStyle w:val="BodyText"/>
        <w:bidi w:val="0"/>
        <w:rPr/>
      </w:pPr>
      <w:r>
        <w:rPr>
          <w:b/>
        </w:rPr>
        <w:t>Questions for management or an MD:</w:t>
      </w:r>
    </w:p>
    <w:p>
      <w:pPr>
        <w:pStyle w:val="BodyText"/>
        <w:numPr>
          <w:ilvl w:val="0"/>
          <w:numId w:val="4"/>
        </w:numPr>
        <w:tabs>
          <w:tab w:val="clear" w:pos="709"/>
          <w:tab w:val="left" w:pos="709" w:leader="none"/>
        </w:tabs>
        <w:bidi w:val="0"/>
        <w:ind w:hanging="283" w:start="709"/>
        <w:rPr/>
      </w:pPr>
      <w:r>
        <w:rPr/>
        <w:t xml:space="preserve">What were FY26 and Q1 FY27 </w:t>
      </w:r>
      <w:r>
        <w:rPr>
          <w:b/>
        </w:rPr>
        <w:t>India and each international market's</w:t>
      </w:r>
      <w:r>
        <w:rPr/>
        <w:t xml:space="preserve"> sessions, net RPT, contribution, receivable days and capital employed?</w:t>
      </w:r>
    </w:p>
    <w:p>
      <w:pPr>
        <w:pStyle w:val="BodyText"/>
        <w:numPr>
          <w:ilvl w:val="0"/>
          <w:numId w:val="4"/>
        </w:numPr>
        <w:tabs>
          <w:tab w:val="clear" w:pos="709"/>
          <w:tab w:val="left" w:pos="709" w:leader="none"/>
        </w:tabs>
        <w:bidi w:val="0"/>
        <w:ind w:hanging="283" w:start="709"/>
        <w:rPr/>
      </w:pPr>
      <w:r>
        <w:rPr/>
        <w:t>How much of the RPT increase came from existing-market tariff increases, payer mix and geography? What happens when each government contract renews?</w:t>
      </w:r>
    </w:p>
    <w:p>
      <w:pPr>
        <w:pStyle w:val="BodyText"/>
        <w:numPr>
          <w:ilvl w:val="0"/>
          <w:numId w:val="4"/>
        </w:numPr>
        <w:tabs>
          <w:tab w:val="clear" w:pos="709"/>
          <w:tab w:val="left" w:pos="709" w:leader="none"/>
        </w:tabs>
        <w:bidi w:val="0"/>
        <w:ind w:hanging="283" w:start="709"/>
        <w:rPr/>
      </w:pPr>
      <w:r>
        <w:rPr/>
        <w:t xml:space="preserve">What is mature-clinic treatments per machine per day by model? What is the return on the </w:t>
      </w:r>
      <w:r>
        <w:rPr>
          <w:i/>
        </w:rPr>
        <w:t>incremental</w:t>
      </w:r>
      <w:r>
        <w:rPr/>
        <w:t xml:space="preserve"> ₹ invested in the latest acquisition cohort?</w:t>
      </w:r>
    </w:p>
    <w:p>
      <w:pPr>
        <w:pStyle w:val="BodyText"/>
        <w:numPr>
          <w:ilvl w:val="0"/>
          <w:numId w:val="4"/>
        </w:numPr>
        <w:tabs>
          <w:tab w:val="clear" w:pos="709"/>
          <w:tab w:val="left" w:pos="709" w:leader="none"/>
        </w:tabs>
        <w:bidi w:val="0"/>
        <w:ind w:hanging="283" w:start="709"/>
        <w:rPr/>
      </w:pPr>
      <w:r>
        <w:rPr/>
        <w:t>Of the FY26 ₹410.4 crore net investing outflow, how much was acquisitions, new sites, maintenance/replacement machines, deposits and financial investments?</w:t>
      </w:r>
    </w:p>
    <w:p>
      <w:pPr>
        <w:pStyle w:val="BodyText"/>
        <w:numPr>
          <w:ilvl w:val="0"/>
          <w:numId w:val="4"/>
        </w:numPr>
        <w:tabs>
          <w:tab w:val="clear" w:pos="709"/>
          <w:tab w:val="left" w:pos="709" w:leader="none"/>
        </w:tabs>
        <w:bidi w:val="0"/>
        <w:ind w:hanging="283" w:start="709"/>
        <w:rPr/>
      </w:pPr>
      <w:r>
        <w:rPr/>
        <w:t>What are infection, hospitalization, missed-session, mortality and patient-retention trends, adjusted for patient severity? What is the clinical oversight standard when dialyzers are reprocessed?</w:t>
      </w:r>
    </w:p>
    <w:p>
      <w:pPr>
        <w:pStyle w:val="BodyText"/>
        <w:bidi w:val="0"/>
        <w:rPr/>
      </w:pPr>
      <w:r>
        <w:rPr>
          <w:b/>
        </w:rPr>
        <w:t>60-second stock pitch:</w:t>
      </w:r>
      <w:r>
        <w:rPr/>
        <w:t xml:space="preserve"> “I am studying NephroPlus, the listed dialysis chain. The structural attraction is repeat treatments from a fragmented supply base, with an operating model that can use partner hospital space and centralized procurement. FY26 treatments grew 16.6% and operating cash flow reached ₹233 crore. Revenue grew faster at 32%, but I would not claim 13% pricing power: overseas revenue rose from 32% to 42% of the mix and carries a higher fee per treatment. My variant view is that the stock should be underwritten on existing-site utilization and country-level returns, especially whether international growth earns back its acquisition and clinic investment. The two risks I would test first are government contract economics and the gap between adjusted earnings and cash after expansion. I would only size the position after comparing a normalized return and free-cash-flow valuation with the live price.”</w:t>
      </w:r>
    </w:p>
    <w:p>
      <w:pPr>
        <w:pStyle w:val="Heading2"/>
        <w:bidi w:val="0"/>
        <w:ind w:hanging="0" w:start="0"/>
        <w:rPr/>
      </w:pPr>
      <w:r>
        <w:rPr/>
        <w:t>5. Likely interview probes: answer with a causal chain</w:t>
      </w:r>
    </w:p>
    <w:p>
      <w:pPr>
        <w:pStyle w:val="BodyText"/>
        <w:bidi w:val="0"/>
        <w:rPr/>
      </w:pPr>
      <w:r>
        <w:rPr>
          <w:b/>
        </w:rPr>
        <w:t>“</w:t>
      </w:r>
      <w:r>
        <w:rPr>
          <w:b/>
        </w:rPr>
        <w:t>Which of the three sectors has the best economics?”</w:t>
      </w:r>
      <w:r>
        <w:rPr/>
        <w:t xml:space="preserve"> There is no blanket ranking. A dense pathology hub can add tests cheaply but channel bargaining can take the savings. A mature hospital with scarce doctors and capacity can price complex cases but needs major capital and clinical retention. A commercial CDMO can have sticky validation, but pipeline failure and plant capex create lumpy returns. Compare incremental ROIC and the identity of the person who controls demand.</w:t>
      </w:r>
    </w:p>
    <w:p>
      <w:pPr>
        <w:pStyle w:val="BodyText"/>
        <w:bidi w:val="0"/>
        <w:rPr/>
      </w:pPr>
      <w:r>
        <w:rPr>
          <w:b/>
        </w:rPr>
        <w:t>“</w:t>
      </w:r>
      <w:r>
        <w:rPr>
          <w:b/>
        </w:rPr>
        <w:t>Why isn't ARPOB enough?”</w:t>
      </w:r>
      <w:r>
        <w:rPr/>
        <w:t xml:space="preserve"> Because higher ARPOB may reflect ICU acuity, expensive oncology drugs or fewer long-stay lower-acuity patients. I would bridge admissions, occupied bed-days, case mix, contribution per episode and outcomes; then ask if the added capital and physician payments were worth it.</w:t>
      </w:r>
    </w:p>
    <w:p>
      <w:pPr>
        <w:pStyle w:val="BodyText"/>
        <w:bidi w:val="0"/>
        <w:rPr/>
      </w:pPr>
      <w:r>
        <w:rPr>
          <w:b/>
        </w:rPr>
        <w:t>“</w:t>
      </w:r>
      <w:r>
        <w:rPr>
          <w:b/>
        </w:rPr>
        <w:t>Why would a hospital outsource dialysis?”</w:t>
      </w:r>
      <w:r>
        <w:rPr/>
        <w:t xml:space="preserve"> It can offer a recurring service without building specialist procurement, staffing and quality systems itself. The dialysis operator gains patient flow and a location, while sharing economics with the hospital. Assess whether outsourced quality and contract returns exceed the hospital's in-house alternative.</w:t>
      </w:r>
    </w:p>
    <w:p>
      <w:pPr>
        <w:pStyle w:val="BodyText"/>
        <w:bidi w:val="0"/>
        <w:rPr/>
      </w:pPr>
      <w:r>
        <w:rPr>
          <w:b/>
        </w:rPr>
        <w:t>“</w:t>
      </w:r>
      <w:r>
        <w:rPr>
          <w:b/>
        </w:rPr>
        <w:t>What is the moat in diagnostics?”</w:t>
      </w:r>
      <w:r>
        <w:rPr/>
        <w:t xml:space="preserve"> Trust from clinicians and patients, sample density around labs, reliable turnaround and quality control. A logo or number of collection centers alone proves little; the moat exists if new samples are acquired at attractive contribution while physicians keep referring complex tests.</w:t>
      </w:r>
    </w:p>
    <w:p>
      <w:pPr>
        <w:pStyle w:val="BodyText"/>
        <w:bidi w:val="0"/>
        <w:rPr/>
      </w:pPr>
      <w:r>
        <w:rPr>
          <w:b/>
        </w:rPr>
        <w:t>“</w:t>
      </w:r>
      <w:r>
        <w:rPr>
          <w:b/>
        </w:rPr>
        <w:t>What is the first model you would build?”</w:t>
      </w:r>
      <w:r>
        <w:rPr/>
        <w:t xml:space="preserve"> Start with a single clinic, center, hospital or CDMO line, then scale by cohort and contract. Explicitly show capacity, utilization, revenue per unit, direct cost, fixed cost and invested capital. Group-level revenue growth is the sum of those cohorts, acquisitions and mix.</w:t>
      </w:r>
    </w:p>
    <w:p>
      <w:pPr>
        <w:pStyle w:val="BodyText"/>
        <w:bidi w:val="0"/>
        <w:rPr/>
      </w:pPr>
      <w:r>
        <w:rPr>
          <w:b/>
        </w:rPr>
        <w:t>“</w:t>
      </w:r>
      <w:r>
        <w:rPr>
          <w:b/>
        </w:rPr>
        <w:t>Which company would you investigate further?”</w:t>
      </w:r>
      <w:r>
        <w:rPr/>
        <w:t xml:space="preserve"> NephroPlus is a research candidate because its repeat utilization and mix are measurable. The falsifiable question is whether country-level incremental ROIC and cash after expansion support the valuation. State the share price, valuation date and hurdle rate only when you have checked them.</w:t>
      </w:r>
    </w:p>
    <w:p>
      <w:pPr>
        <w:pStyle w:val="Heading2"/>
        <w:bidi w:val="0"/>
        <w:ind w:hanging="0" w:start="0"/>
        <w:rPr/>
      </w:pPr>
      <w:r>
        <w:rPr/>
        <w:t>Tonight's priority order</w:t>
      </w:r>
    </w:p>
    <w:p>
      <w:pPr>
        <w:pStyle w:val="BodyText"/>
        <w:numPr>
          <w:ilvl w:val="0"/>
          <w:numId w:val="5"/>
        </w:numPr>
        <w:tabs>
          <w:tab w:val="clear" w:pos="709"/>
          <w:tab w:val="left" w:pos="709" w:leader="none"/>
        </w:tabs>
        <w:bidi w:val="0"/>
        <w:ind w:hanging="283" w:start="709"/>
        <w:rPr/>
      </w:pPr>
      <w:r>
        <w:rPr/>
        <w:t>Memorize the five-line sector map and each sector's revenue equation.</w:t>
      </w:r>
    </w:p>
    <w:p>
      <w:pPr>
        <w:pStyle w:val="BodyText"/>
        <w:numPr>
          <w:ilvl w:val="0"/>
          <w:numId w:val="5"/>
        </w:numPr>
        <w:tabs>
          <w:tab w:val="clear" w:pos="709"/>
          <w:tab w:val="left" w:pos="709" w:leader="none"/>
        </w:tabs>
        <w:bidi w:val="0"/>
        <w:ind w:hanging="283" w:start="709"/>
        <w:rPr/>
      </w:pPr>
      <w:r>
        <w:rPr/>
        <w:t>Be able to derive hospital admissions, occupancy, ALOS and ARPOB on paper; explain why ARPOB is partly case mix.</w:t>
      </w:r>
    </w:p>
    <w:p>
      <w:pPr>
        <w:pStyle w:val="BodyText"/>
        <w:numPr>
          <w:ilvl w:val="0"/>
          <w:numId w:val="5"/>
        </w:numPr>
        <w:tabs>
          <w:tab w:val="clear" w:pos="709"/>
          <w:tab w:val="left" w:pos="709" w:leader="none"/>
        </w:tabs>
        <w:bidi w:val="0"/>
        <w:ind w:hanging="283" w:start="709"/>
        <w:rPr/>
      </w:pPr>
      <w:r>
        <w:rPr/>
        <w:t>Explain pathology versus imaging costs with one patient and one machine example.</w:t>
      </w:r>
    </w:p>
    <w:p>
      <w:pPr>
        <w:pStyle w:val="BodyText"/>
        <w:numPr>
          <w:ilvl w:val="0"/>
          <w:numId w:val="5"/>
        </w:numPr>
        <w:tabs>
          <w:tab w:val="clear" w:pos="709"/>
          <w:tab w:val="left" w:pos="709" w:leader="none"/>
        </w:tabs>
        <w:bidi w:val="0"/>
        <w:ind w:hanging="283" w:start="709"/>
        <w:rPr/>
      </w:pPr>
      <w:r>
        <w:rPr/>
        <w:t>Deliver NephroPlus's 60-second pitch, then the RPT mix challenge and two bear risks.</w:t>
      </w:r>
    </w:p>
    <w:p>
      <w:pPr>
        <w:pStyle w:val="BodyText"/>
        <w:numPr>
          <w:ilvl w:val="0"/>
          <w:numId w:val="5"/>
        </w:numPr>
        <w:tabs>
          <w:tab w:val="clear" w:pos="709"/>
          <w:tab w:val="left" w:pos="709" w:leader="none"/>
        </w:tabs>
        <w:bidi w:val="0"/>
        <w:ind w:hanging="283" w:start="709"/>
        <w:rPr/>
      </w:pPr>
      <w:r>
        <w:rPr/>
        <w:t>Remember the six anchor names: Syngene and Divi's; Dr Lal and Thyrocare; Apollo and Max. Add Krsnaa for radiology PPP and Narayana for throughput economics.</w:t>
      </w:r>
    </w:p>
    <w:p>
      <w:pPr>
        <w:pStyle w:val="Heading3"/>
        <w:numPr>
          <w:ilvl w:val="0"/>
          <w:numId w:val="0"/>
        </w:numPr>
        <w:bidi w:val="0"/>
        <w:ind w:hanging="0" w:start="0"/>
        <w:rPr/>
      </w:pPr>
      <w:r>
        <w:rPr/>
        <w:t>Primary reading links</w:t>
      </w:r>
    </w:p>
    <w:p>
      <w:pPr>
        <w:pStyle w:val="BodyText"/>
        <w:numPr>
          <w:ilvl w:val="0"/>
          <w:numId w:val="6"/>
        </w:numPr>
        <w:tabs>
          <w:tab w:val="clear" w:pos="709"/>
          <w:tab w:val="left" w:pos="709" w:leader="none"/>
        </w:tabs>
        <w:bidi w:val="0"/>
        <w:ind w:hanging="283" w:start="709"/>
        <w:rPr/>
      </w:pPr>
      <w:hyperlink r:id="rId26">
        <w:r>
          <w:rPr>
            <w:rStyle w:val="Hyperlink"/>
          </w:rPr>
          <w:t>Samara team page</w:t>
        </w:r>
      </w:hyperlink>
      <w:r>
        <w:rPr/>
        <w:t>, for interviewer background.</w:t>
      </w:r>
    </w:p>
    <w:p>
      <w:pPr>
        <w:pStyle w:val="BodyText"/>
        <w:numPr>
          <w:ilvl w:val="0"/>
          <w:numId w:val="6"/>
        </w:numPr>
        <w:tabs>
          <w:tab w:val="clear" w:pos="709"/>
          <w:tab w:val="left" w:pos="709" w:leader="none"/>
        </w:tabs>
        <w:bidi w:val="0"/>
        <w:ind w:hanging="283" w:start="709"/>
        <w:rPr/>
      </w:pPr>
      <w:hyperlink r:id="rId27">
        <w:r>
          <w:rPr>
            <w:rStyle w:val="Hyperlink"/>
          </w:rPr>
          <w:t>NephroPlus FY26 investor presentation</w:t>
        </w:r>
      </w:hyperlink>
      <w:r>
        <w:rPr/>
        <w:t xml:space="preserve">, especially pp. 7–12, 23–24, 32–35, 42–43; </w:t>
      </w:r>
      <w:hyperlink r:id="rId28">
        <w:r>
          <w:rPr>
            <w:rStyle w:val="Hyperlink"/>
          </w:rPr>
          <w:t>company investor page</w:t>
        </w:r>
      </w:hyperlink>
      <w:r>
        <w:rPr/>
        <w:t>.</w:t>
      </w:r>
    </w:p>
    <w:p>
      <w:pPr>
        <w:pStyle w:val="BodyText"/>
        <w:numPr>
          <w:ilvl w:val="0"/>
          <w:numId w:val="6"/>
        </w:numPr>
        <w:tabs>
          <w:tab w:val="clear" w:pos="709"/>
          <w:tab w:val="left" w:pos="709" w:leader="none"/>
        </w:tabs>
        <w:bidi w:val="0"/>
        <w:ind w:hanging="283" w:start="709"/>
        <w:rPr/>
      </w:pPr>
      <w:hyperlink r:id="rId29">
        <w:r>
          <w:rPr>
            <w:rStyle w:val="Hyperlink"/>
          </w:rPr>
          <w:t>Syngene FY26 annual report</w:t>
        </w:r>
      </w:hyperlink>
      <w:r>
        <w:rPr/>
        <w:t xml:space="preserve">; </w:t>
      </w:r>
      <w:hyperlink r:id="rId30">
        <w:r>
          <w:rPr>
            <w:rStyle w:val="Hyperlink"/>
          </w:rPr>
          <w:t>Divi's business segments</w:t>
        </w:r>
      </w:hyperlink>
      <w:r>
        <w:rPr/>
        <w:t xml:space="preserve">; </w:t>
      </w:r>
      <w:hyperlink r:id="rId31">
        <w:r>
          <w:rPr>
            <w:rStyle w:val="Hyperlink"/>
          </w:rPr>
          <w:t>Piramal businesses</w:t>
        </w:r>
      </w:hyperlink>
      <w:r>
        <w:rPr/>
        <w:t>.</w:t>
      </w:r>
    </w:p>
    <w:p>
      <w:pPr>
        <w:pStyle w:val="BodyText"/>
        <w:numPr>
          <w:ilvl w:val="0"/>
          <w:numId w:val="6"/>
        </w:numPr>
        <w:tabs>
          <w:tab w:val="clear" w:pos="709"/>
          <w:tab w:val="left" w:pos="709" w:leader="none"/>
        </w:tabs>
        <w:bidi w:val="0"/>
        <w:ind w:hanging="283" w:start="709"/>
        <w:rPr/>
      </w:pPr>
      <w:hyperlink r:id="rId32">
        <w:r>
          <w:rPr>
            <w:rStyle w:val="Hyperlink"/>
          </w:rPr>
          <w:t>Thyrocare business model</w:t>
        </w:r>
      </w:hyperlink>
      <w:r>
        <w:rPr/>
        <w:t xml:space="preserve">; </w:t>
      </w:r>
      <w:hyperlink r:id="rId33">
        <w:r>
          <w:rPr>
            <w:rStyle w:val="Hyperlink"/>
          </w:rPr>
          <w:t>Suraksha FY26 investor presentation</w:t>
        </w:r>
      </w:hyperlink>
      <w:r>
        <w:rPr/>
        <w:t xml:space="preserve">; </w:t>
      </w:r>
      <w:hyperlink r:id="rId34">
        <w:r>
          <w:rPr>
            <w:rStyle w:val="Hyperlink"/>
          </w:rPr>
          <w:t>Krsnaa investor page</w:t>
        </w:r>
      </w:hyperlink>
      <w:r>
        <w:rPr/>
        <w:t>.</w:t>
      </w:r>
    </w:p>
    <w:p>
      <w:pPr>
        <w:pStyle w:val="BodyText"/>
        <w:numPr>
          <w:ilvl w:val="0"/>
          <w:numId w:val="6"/>
        </w:numPr>
        <w:tabs>
          <w:tab w:val="clear" w:pos="709"/>
          <w:tab w:val="left" w:pos="709" w:leader="none"/>
        </w:tabs>
        <w:bidi w:val="0"/>
        <w:ind w:hanging="283" w:start="709"/>
        <w:rPr/>
      </w:pPr>
      <w:hyperlink r:id="rId35">
        <w:r>
          <w:rPr>
            <w:rStyle w:val="Hyperlink"/>
          </w:rPr>
          <w:t>Apollo investor presentations</w:t>
        </w:r>
      </w:hyperlink>
      <w:r>
        <w:rPr/>
        <w:t xml:space="preserve">; </w:t>
      </w:r>
      <w:hyperlink r:id="rId36">
        <w:r>
          <w:rPr>
            <w:rStyle w:val="Hyperlink"/>
          </w:rPr>
          <w:t>Fortis investor presentations</w:t>
        </w:r>
      </w:hyperlink>
      <w:r>
        <w:rPr/>
        <w:t xml:space="preserve">; </w:t>
      </w:r>
      <w:hyperlink r:id="rId37">
        <w:r>
          <w:rPr>
            <w:rStyle w:val="Hyperlink"/>
          </w:rPr>
          <w:t>KIMS investor materials</w:t>
        </w:r>
      </w:hyperlink>
      <w:r>
        <w:rPr/>
        <w:t>.</w:t>
      </w:r>
    </w:p>
    <w:p>
      <w:pPr>
        <w:pStyle w:val="BodyText"/>
        <w:bidi w:val="0"/>
        <w:rPr/>
      </w:pPr>
      <w:r>
        <w:rPr>
          <w:b/>
        </w:rPr>
        <w:t>Method:</w:t>
      </w:r>
      <w:r>
        <w:rPr/>
        <w:t xml:space="preserve"> All hypothetical unit economics above are labelled illustrative. Company figures are from company filings and presentations available on the preparation date. Investment conclusions and diligence questions are analytical inferences, not management guidance. Compare different companies only after aligning their reporting definitions, leases, minority interests and maturity cohorts.</w:t>
      </w:r>
    </w:p>
    <w:p>
      <w:pPr>
        <w:pStyle w:val="BodyText"/>
        <w:bidi w:val="0"/>
        <w:spacing w:before="0" w:after="140"/>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Liberation Mono">
    <w:altName w:val="Courier New"/>
    <w:charset w:val="01"/>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09"/>
  <w:autoHyphenation w:val="true"/>
  <w:hyphenationZone w:val="0"/>
  <w:compat>
    <w:adjustLineHeightInTable/>
    <w:doNotUseHTMLParagraphAutoSpacing/>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AR PL SungtiL GB"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AR PL SungtiL GB" w:cs="Noto Sans Devanagari"/>
      <w:color w:val="auto"/>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character" w:styleId="Hyperlink">
    <w:name w:val="Hyperlink"/>
    <w:rPr>
      <w:color w:val="000080"/>
      <w:u w:val="single"/>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AR PL SungtiL GB"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samaracapital.com/team/" TargetMode="External"/><Relationship Id="rId3" Type="http://schemas.openxmlformats.org/officeDocument/2006/relationships/hyperlink" Target="https://annualreport.syngeneintl.com/" TargetMode="External"/><Relationship Id="rId4" Type="http://schemas.openxmlformats.org/officeDocument/2006/relationships/hyperlink" Target="https://www.divislabs.com/api-manufacturer-world/" TargetMode="External"/><Relationship Id="rId5" Type="http://schemas.openxmlformats.org/officeDocument/2006/relationships/hyperlink" Target="https://www.lauruslabs.com/financials.html" TargetMode="External"/><Relationship Id="rId6" Type="http://schemas.openxmlformats.org/officeDocument/2006/relationships/hyperlink" Target="https://www.piramalpharma.com/about-us/overview" TargetMode="External"/><Relationship Id="rId7" Type="http://schemas.openxmlformats.org/officeDocument/2006/relationships/hyperlink" Target="https://www.lalpathlabs.com/our-labs" TargetMode="External"/><Relationship Id="rId8" Type="http://schemas.openxmlformats.org/officeDocument/2006/relationships/hyperlink" Target="https://www.metropolisindia.com/fetchAllDataOnLoad" TargetMode="External"/><Relationship Id="rId9" Type="http://schemas.openxmlformats.org/officeDocument/2006/relationships/hyperlink" Target="https://investor.thyrocare.com/details-of-business/" TargetMode="External"/><Relationship Id="rId10" Type="http://schemas.openxmlformats.org/officeDocument/2006/relationships/hyperlink" Target="https://www.vijayadiagnostic.com/" TargetMode="External"/><Relationship Id="rId11" Type="http://schemas.openxmlformats.org/officeDocument/2006/relationships/hyperlink" Target="https://www.surakshanet.com/pdf/investor/Suraksha%20Investor%20Presentation%20Q4%20FY%202025-26.pdf" TargetMode="External"/><Relationship Id="rId12" Type="http://schemas.openxmlformats.org/officeDocument/2006/relationships/hyperlink" Target="https://krsnaadiagnostics.com/investors/" TargetMode="External"/><Relationship Id="rId13" Type="http://schemas.openxmlformats.org/officeDocument/2006/relationships/hyperlink" Target="https://www.fortishealthcare.com/investors/investor-presentations-%26-transcripts/494" TargetMode="External"/><Relationship Id="rId14" Type="http://schemas.openxmlformats.org/officeDocument/2006/relationships/hyperlink" Target="https://www.apollohospitals.com/investor-relations" TargetMode="External"/><Relationship Id="rId15" Type="http://schemas.openxmlformats.org/officeDocument/2006/relationships/hyperlink" Target="https://www.maxhealthcare.in/financials" TargetMode="External"/><Relationship Id="rId16" Type="http://schemas.openxmlformats.org/officeDocument/2006/relationships/hyperlink" Target="https://www.narayanahealth.org/news-media/narayana-health-q1-fy27-business-highlights" TargetMode="External"/><Relationship Id="rId17" Type="http://schemas.openxmlformats.org/officeDocument/2006/relationships/hyperlink" Target="https://www.kimshospitals.com/investors/" TargetMode="External"/><Relationship Id="rId18" Type="http://schemas.openxmlformats.org/officeDocument/2006/relationships/hyperlink" Target="https://www.medanta.org/investor_relations/financial-information" TargetMode="External"/><Relationship Id="rId19" Type="http://schemas.openxmlformats.org/officeDocument/2006/relationships/hyperlink" Target="https://www.rainbowhospitals.in/investors-relations" TargetMode="External"/><Relationship Id="rId20" Type="http://schemas.openxmlformats.org/officeDocument/2006/relationships/hyperlink" Target="https://www.hcgoncology.com/investor-relations/" TargetMode="External"/><Relationship Id="rId21" Type="http://schemas.openxmlformats.org/officeDocument/2006/relationships/hyperlink" Target="https://nephroplus.com/investors" TargetMode="External"/><Relationship Id="rId22" Type="http://schemas.openxmlformats.org/officeDocument/2006/relationships/hyperlink" Target="https://nsearchives.nseindia.com/corporate/NEPHROCARE1_19052026185638_Reg30InvPresentationdt19052026_f.pdf" TargetMode="External"/><Relationship Id="rId23" Type="http://schemas.openxmlformats.org/officeDocument/2006/relationships/hyperlink" Target="https://nsearchives.nseindia.com/corporate/NEPHROCARE1_19052026185638_Reg30InvPresentationdt19052026_f.pdf" TargetMode="External"/><Relationship Id="rId24" Type="http://schemas.openxmlformats.org/officeDocument/2006/relationships/hyperlink" Target="https://nsearchives.nseindia.com/corporate/NEPHROCARE1_19052026185638_Reg30InvPresentationdt19052026_f.pdf" TargetMode="External"/><Relationship Id="rId25" Type="http://schemas.openxmlformats.org/officeDocument/2006/relationships/hyperlink" Target="https://bazaarwatch.com/announcement/61335/nephrocare-health-services-ltd-press-release-on-un-audited-standalone-and-consolidated-financial-res" TargetMode="External"/><Relationship Id="rId26" Type="http://schemas.openxmlformats.org/officeDocument/2006/relationships/hyperlink" Target="https://samaracapital.com/team/" TargetMode="External"/><Relationship Id="rId27" Type="http://schemas.openxmlformats.org/officeDocument/2006/relationships/hyperlink" Target="https://nsearchives.nseindia.com/corporate/NEPHROCARE1_19052026185638_Reg30InvPresentationdt19052026_f.pdf" TargetMode="External"/><Relationship Id="rId28" Type="http://schemas.openxmlformats.org/officeDocument/2006/relationships/hyperlink" Target="https://nephroplus.com/investors" TargetMode="External"/><Relationship Id="rId29" Type="http://schemas.openxmlformats.org/officeDocument/2006/relationships/hyperlink" Target="https://annualreport.syngeneintl.com/" TargetMode="External"/><Relationship Id="rId30" Type="http://schemas.openxmlformats.org/officeDocument/2006/relationships/hyperlink" Target="https://www.divislabs.com/api-manufacturer-world/" TargetMode="External"/><Relationship Id="rId31" Type="http://schemas.openxmlformats.org/officeDocument/2006/relationships/hyperlink" Target="https://www.piramalpharma.com/about-us/overview" TargetMode="External"/><Relationship Id="rId32" Type="http://schemas.openxmlformats.org/officeDocument/2006/relationships/hyperlink" Target="https://investor.thyrocare.com/details-of-business/" TargetMode="External"/><Relationship Id="rId33" Type="http://schemas.openxmlformats.org/officeDocument/2006/relationships/hyperlink" Target="https://www.surakshanet.com/pdf/investor/Suraksha%20Investor%20Presentation%20Q4%20FY%202025-26.pdf" TargetMode="External"/><Relationship Id="rId34" Type="http://schemas.openxmlformats.org/officeDocument/2006/relationships/hyperlink" Target="https://krsnaadiagnostics.com/investors/" TargetMode="External"/><Relationship Id="rId35" Type="http://schemas.openxmlformats.org/officeDocument/2006/relationships/hyperlink" Target="https://www.apollohospitals.com/investor-relations" TargetMode="External"/><Relationship Id="rId36" Type="http://schemas.openxmlformats.org/officeDocument/2006/relationships/hyperlink" Target="https://www.fortishealthcare.com/investors/investor-presentations-%26-transcripts/494" TargetMode="External"/><Relationship Id="rId37" Type="http://schemas.openxmlformats.org/officeDocument/2006/relationships/hyperlink" Target="https://www.kimshospitals.com/investors/" TargetMode="External"/><Relationship Id="rId38" Type="http://schemas.openxmlformats.org/officeDocument/2006/relationships/numbering" Target="numbering.xml"/><Relationship Id="rId39" Type="http://schemas.openxmlformats.org/officeDocument/2006/relationships/fontTable" Target="fontTable.xml"/><Relationship Id="rId40" Type="http://schemas.openxmlformats.org/officeDocument/2006/relationships/settings" Target="settings.xml"/><Relationship Id="rId4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LibreOffice/26.8.0.3$Linux_X86_64 LibreOffice_project/680$Build-3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