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52fd6a860e181e2972d23f4707d24298ddfb02"/>
    <w:p>
      <w:pPr>
        <w:pStyle w:val="Heading2"/>
      </w:pPr>
      <w:r>
        <w:t xml:space="preserve">The set-up: prostate cancer is a large, ageing-linked oncology market; Xtandi’s LOE opens a high-value oral oncology generic pool</w:t>
      </w:r>
    </w:p>
    <w:p>
      <w:pPr>
        <w:pStyle w:val="FirstParagraph"/>
      </w:pPr>
      <w:r>
        <w:t xml:space="preserve">Prostate cancer is a malignancy of the prostate gland, and its clinical importance comes from a split disease profile: most patients are diagnosed before distant spread and have excellent survival, but a smaller advanced cohort drives a disproportionate share of mortality, systemic therapy use and drug spend. In the US, prostate cancer is expected to be the largest cancer by new diagnoses in 2026, with approximately 334k new cases and 36k deaths. US prevalence is already around 3.7mn men living with prostate cancer, and incidence has been rising at approximately 2.7% per year over 2014-23. The commercial implication is direct: this is not a niche tumour type. It is a large, ageing-linked disease pool where earlier use of systemic agents can create durable, chronic-revenue oncology franchises.</w:t>
      </w:r>
    </w:p>
    <w:p>
      <w:pPr>
        <w:pStyle w:val="BodyText"/>
      </w:pPr>
      <w:r>
        <w:t xml:space="preserve">Treatment is stage-dependent. Localized disease is usually managed with surgery, radiation, active surveillance or local hormonal strategies. Advanced disease is built around androgen deprivation therapy, because prostate cancer cells are typically driven by androgen signalling through the androgen receptor. The three key branded oral androgen receptor pathway inhibitors in this note are Xtandi, Nubeqa and Erleada. Xtandi is enzalutamide, commercialized by Astellas and Pfizer. Nubeqa is darolutamide, commercialized by Bayer in partnership with Orion. Erleada is apalutamide, commercialized by Janssen, now J&amp;J Innovative Medicine. These are small-molecule oral oncology drugs, not biologics. They block androgen receptor signalling and are used on top of continued testosterone suppression in most advanced settings.</w:t>
      </w:r>
    </w:p>
    <w:p>
      <w:pPr>
        <w:pStyle w:val="BodyText"/>
      </w:pPr>
      <w:r>
        <w:t xml:space="preserve">The three products treat overlapping, but not identical, advanced prostate cancer segments. Xtandi has the broadest US label across castration-resistant prostate cancer, metastatic castration-sensitive prostate cancer and high-risk biochemical recurrence in non-metastatic castration-sensitive prostate cancer. Erleada is approved in non-metastatic castration-resistant prostate cancer and metastatic castration-sensitive prostate cancer. Nubeqa is approved in non-metastatic castration-resistant prostate cancer and metastatic castration-sensitive prostate cancer, including use with or without docetaxel. In simple terms,</w:t>
      </w:r>
      <w:r>
        <w:t xml:space="preserve"> </w:t>
      </w:r>
      <w:r>
        <w:t xml:space="preserve">“castration-sensitive”</w:t>
      </w:r>
      <w:r>
        <w:t xml:space="preserve"> </w:t>
      </w:r>
      <w:r>
        <w:t xml:space="preserve">means the cancer still responds to testosterone suppression;</w:t>
      </w:r>
      <w:r>
        <w:t xml:space="preserve"> </w:t>
      </w:r>
      <w:r>
        <w:t xml:space="preserve">“castration-resistant”</w:t>
      </w:r>
      <w:r>
        <w:t xml:space="preserve"> </w:t>
      </w:r>
      <w:r>
        <w:t xml:space="preserve">means the disease progresses despite castrate testosterone levels;</w:t>
      </w:r>
      <w:r>
        <w:t xml:space="preserve"> </w:t>
      </w:r>
      <w:r>
        <w:t xml:space="preserve">“metastatic”</w:t>
      </w:r>
      <w:r>
        <w:t xml:space="preserve"> </w:t>
      </w:r>
      <w:r>
        <w:t xml:space="preserve">means the disease has spread beyond the prostate;</w:t>
      </w:r>
      <w:r>
        <w:t xml:space="preserve"> </w:t>
      </w:r>
      <w:r>
        <w:t xml:space="preserve">“non-metastatic CRPC”</w:t>
      </w:r>
      <w:r>
        <w:t xml:space="preserve"> </w:t>
      </w:r>
      <w:r>
        <w:t xml:space="preserve">means PSA progression despite castration but without visible metastases on conventional imaging.</w:t>
      </w:r>
    </w:p>
    <w:p>
      <w:pPr>
        <w:pStyle w:val="BodyText"/>
      </w:pPr>
      <w:r>
        <w:t xml:space="preserve">Mechanistically, all three are next-generation androgen receptor inhibitors. They bind the androgen receptor, inhibit receptor activation and reduce downstream transcription of genes that support prostate cancer growth. The clinical differentiation is not that one product</w:t>
      </w:r>
      <w:r>
        <w:t xml:space="preserve"> </w:t>
      </w:r>
      <w:r>
        <w:t xml:space="preserve">“cures”</w:t>
      </w:r>
      <w:r>
        <w:t xml:space="preserve"> </w:t>
      </w:r>
      <w:r>
        <w:t xml:space="preserve">prostate cancer while another does not. The differentiation sits in label breadth, physician familiarity, safety perception, CNS penetration, drug-drug interaction profile, dosing comfort, payer access and the level of clinical-trial evidence in each disease state. Xtandi has the longest commercial history and broadest label. Erleada was the first FDA-approved therapy for nmCRPC and built a strong mCSPC position after TITAN. Nubeqa entered later, but its profile is commercially attractive because darolutamide is structurally distinct and is perceived to have lower CNS penetration and a more manageable interaction profile than enzalutamide and apalutamide in older, co-morbid prostate cancer patients.</w:t>
      </w:r>
    </w:p>
    <w:p>
      <w:pPr>
        <w:pStyle w:val="BodyText"/>
      </w:pPr>
      <w:r>
        <w:t xml:space="preserve">The commercial data show why this matters for Zydus. The US ARPI market represented by Xtandi, Nubeqa and Erleada has expanded from around $2.8bn in CY21 to around $8.7bn in CY25, implying approximately 33% CAGR. This growth is not explained by WAC alone: in the workbook, WAC rose by approximately 29 to 30% from Q2 2020 to Q1 2026 across the three products, while sales expanded by more than 3x. The market expansion is therefore primarily volume and line-of-therapy driven. Xtandi remained the largest product in CY25 at around $3.65bn of US sales, but its share fell from approximately 63% in CY21 to approximately 42% in CY25 as Nubeqa and Erleada scaled. Nubeqa is the standout share-gainer: US sales rose from around $220mn in CY21 to around $2.73bn in CY25, implying approximately 88% CAGR, taking share from approximately 8% to approximately 32%. Erleada also grew from around $0.81bn to around $2.28bn over the same period, but with a slower approximately 29% CAGR and a broadly stable-to-lower share. In Q1 CY26, Nubeqa sales in the dataset reached around $947mn, ahead of Xtandi at around $909mn and Erleada at around $576mn; Q2 CY26 should not be annualized because the quarter appears incomplete.</w:t>
      </w:r>
    </w:p>
    <w:p>
      <w:pPr>
        <w:pStyle w:val="BodyText"/>
      </w:pPr>
      <w:r>
        <w:t xml:space="preserve">The historical sequence also explains the competitive reset. Xtandi was first approved in the US in 2012 in post-docetaxel metastatic CRPC, then expanded into earlier CRPC and mCSPC, and later into high-risk biochemical recurrence. Erleada followed in 2018 in nmCRPC and expanded into mCSPC in 2019. Nubeqa was approved in 2019 for nmCRPC, then expanded into mCSPC with docetaxel and subsequently into broader mCSPC use. The market therefore moved from late-line CRPC to earlier and larger disease pools, lengthening treatment duration and expanding the addressable patient base. That is why a generic enzalutamide opportunity is materially larger than the original post-chemotherapy mCRPC niche.</w:t>
      </w:r>
    </w:p>
    <w:bookmarkEnd w:id="20"/>
    <w:bookmarkStart w:id="21" w:name="X26f143d42e673a7e78bdb74f5264eeef1b8bd1d"/>
    <w:p>
      <w:pPr>
        <w:pStyle w:val="Heading2"/>
      </w:pPr>
      <w:r>
        <w:t xml:space="preserve">The opportunity: Xtandi’s 2027 US substance patent expiry creates a high-value, difficult-to-access generic enzalutamide market</w:t>
      </w:r>
    </w:p>
    <w:p>
      <w:pPr>
        <w:pStyle w:val="FirstParagraph"/>
      </w:pPr>
      <w:r>
        <w:t xml:space="preserve">Xtandi is the patent-cliff asset in this class. Astellas has disclosed that Xtandi substance patents expire in August 2027 in the US, June 2028 in Europe and July 2029 in Japan. FDA documents for enzalutamide generics list three key Orange Book patents: US 9,126,941 expiring May 15, 2026, US 8,183,274 expiring August 24, 2026 and US 7,709,517 expiring August 13, 2027. The practical US LOE base case is therefore late-CY27 for the core molecule, with exact commercial launch timing determined by final FDA approval status, settlement terms, first-filer exclusivity and any at-risk launch decisions.</w:t>
      </w:r>
    </w:p>
    <w:p>
      <w:pPr>
        <w:pStyle w:val="BodyText"/>
      </w:pPr>
      <w:r>
        <w:t xml:space="preserve">This is a material opportunity because Xtandi is a high-WAC, chronic oral oncology product with a large US revenue base. In the IQVIA dataset, Xtandi US sales were around $3.65bn in CY25, up from around $1.77bn in CY21. Zydus’ own October 2024 disclosure puts the US enzalutamide tablet market at $1.42bn on an IQVIA MAT July 2024 basis, specifically for 40 mg and 80 mg tablets. That distinction matters: Zydus’ tentative approval is for tablets, not capsules. The relevant market for Zydus is therefore the tablet pool, which has been growing as Xtandi shifted beyond the original capsule formulation.</w:t>
      </w:r>
    </w:p>
    <w:p>
      <w:pPr>
        <w:pStyle w:val="BodyText"/>
      </w:pPr>
      <w:r>
        <w:t xml:space="preserve">The public generic cohort is already visible. Actavis has FDA approval for enzalutamide capsules 40 mg and is identified by FDA as one of the first ANDA applicants for that capsule product. Sandoz had tentative approval for enzalutamide tablets 40 mg and 80 mg under ANDA 216068, with FDA noting bioequivalence and therapeutic equivalence to Xtandi tablets, but withholding final approval at that time due to patent issues. Zydus received tentative approval in October 2024 for enzalutamide tablets 40 mg and 80 mg, to be manufactured at its SEZ facility in Ahmedabad. Humanwell PuraCap, through Epic Pharma, received tentative approval for enzalutamide capsules 40 mg, but FDA noted that final approval was gated by earlier applicant exclusivity. The key point is that Zydus is not an isolated filer. It is part of an already-formed generic queue for a known LOE event.</w:t>
      </w:r>
    </w:p>
    <w:p>
      <w:pPr>
        <w:pStyle w:val="BodyText"/>
      </w:pPr>
      <w:r>
        <w:t xml:space="preserve">Zydus should be treated as an early-wave tablet generic entrant, not as the first-filer exclusivity owner. The reason is specific: Zydus already has tentative USFDA approval for the commercially relevant tablet strengths more than two years before the US substance patent expiry, but public FDA documents show earlier applicants in the enzalutamide queue. For modelling, the clean base case is Zydus commercial launch in late CY27 or early CY28, after the August 13, 2027 expiry of the US 7,709,517 patent and subject to any 180-day exclusivity bottleneck. In a March year-end model, that means initial contribution in FY28 if launch is late CY27, with the first full-year contribution more visible in FY29.</w:t>
      </w:r>
    </w:p>
    <w:p>
      <w:pPr>
        <w:pStyle w:val="BodyText"/>
      </w:pPr>
      <w:r>
        <w:t xml:space="preserve">This is not a simple commodity generic despite being an oral solid dosage form. The difficulty is not device complexity, as in inhalers, or manufacturing complexity, as in peptides or long-acting injectables. The barrier is the combination of high-potency oncology handling, bioequivalence against a high-value reference product, litigation timing, Paragraph IV strategy, launch-risk management, oncology-channel contracting and the need to compete in a concentrated specialty distribution market. The economics are also unusual: the patient count is not mass-market, but the annual drug value is high because therapy is chronic and continues until progression, toxicity, treatment holiday or switching.</w:t>
      </w:r>
    </w:p>
    <w:p>
      <w:pPr>
        <w:pStyle w:val="BodyText"/>
      </w:pPr>
      <w:r>
        <w:t xml:space="preserve">Our Zydus revenue estimate starts from the tablet-specific market, not the entire Xtandi franchise. Zydus disclosed a $1.42bn US enzalutamide tablet market on MAT July 2024. Using the IQVIA growth trajectory in the workbook, we estimate the US tablet pool at launch at approximately $2.0 to 2.4bn brand-equivalent sales. In the first 12 months after Zydus launch, our base case assumes generics capture approximately 55 to 65% of tablet volume at approximately 45 to 55% of pre-LOE brand-equivalent net price, producing a generic tablet revenue pool of approximately $500 to 800mn. Assuming Zydus captures approximately 10 to 12% share of the generic tablet pool in a multi-entrant launch, Zydus first full-year enzalutamide sales would be approximately $60 to 90mn. In year two, we assume generic volume share rises to approximately 75 to 85%, but price falls to approximately 25 to 35% of pre-LOE brand-equivalent pricing as competition normalizes. That gives Zydus approximately $50 to 80mn of year-two sales. A tight-supply or limited-entrant launch can push Zydus above $100mn in the first year; a crowded launch with rapid price deflation can push the opportunity below $50mn.</w:t>
      </w:r>
    </w:p>
    <w:p>
      <w:pPr>
        <w:pStyle w:val="BodyText"/>
      </w:pPr>
      <w:r>
        <w:t xml:space="preserve">The contribution quality should be better than a vanilla US generic because the base product is high-value oncology and because Zydus is entering with a tablet product that requires prior regulatory work. The margin outcome will depend on the number of competitors and launch sequencing. If Zydus enters after a 180-day exclusivity window, first-year price capture will be lower but supply risk will also be lower. If Zydus enters in the early wave alongside a small number of players, revenue and gross margin can be meaningfully higher for the first two to four quarters. For stock work, we would not capitalize this as a multi-year monopoly. We would capitalize it as a high-value, two-year step-up in US generics revenue, with price erosion thereafter.</w:t>
      </w:r>
    </w:p>
    <w:p>
      <w:pPr>
        <w:pStyle w:val="BodyText"/>
      </w:pPr>
      <w:r>
        <w:t xml:space="preserve">The strategic relevance for Zydus is also broader than the near-term dollar contribution. This tentative approval reinforces Zydus’ ability to file and clear high-value, patent-gated US oncology generics. It is not NCE innovation, but it is specialty-generic execution: identifying a large LOE pool, completing development, achieving bioequivalence, clearing FDA review and positioning for launch around a legally complex patent event. In a US generics business, that capability matters because durable outperformance increasingly comes from difficult oral oncology, limited-competition launches, injectables, transdermals, complex dosage forms and litigation-managed opportunities, not from undifferentiated solid orals.</w:t>
      </w:r>
    </w:p>
    <w:bookmarkEnd w:id="21"/>
    <w:bookmarkStart w:id="22" w:name="Xe58dcd670c816f5a5420fcd45f7186cc07b8abe"/>
    <w:p>
      <w:pPr>
        <w:pStyle w:val="Heading2"/>
      </w:pPr>
      <w:r>
        <w:t xml:space="preserve">Read-through to Indian chemical suppliers: direct benefit sits with enzalutamide generic players; indirect benefit sits with Nubeqa-linked intermediates</w:t>
      </w:r>
    </w:p>
    <w:p>
      <w:pPr>
        <w:pStyle w:val="FirstParagraph"/>
      </w:pPr>
      <w:r>
        <w:t xml:space="preserve">The direct beneficiary of Xtandi LOE is the generic enzalutamide formulation and API chain. For Zydus, the direct opportunity is finished-dosage enzalutamide tablets. For Indian chemical and CDMO companies, the direct read-through requires proof that the company supplies enzalutamide API or intermediates into one of the generic entrants. Without that proof, the correct analytical framing is not</w:t>
      </w:r>
      <w:r>
        <w:t xml:space="preserve"> </w:t>
      </w:r>
      <w:r>
        <w:t xml:space="preserve">“Xtandi LOE benefits all Indian chemical companies.”</w:t>
      </w:r>
      <w:r>
        <w:t xml:space="preserve"> </w:t>
      </w:r>
      <w:r>
        <w:t xml:space="preserve">The correct framing is narrower: Xtandi LOE creates a generic enzalutamide supply opportunity; separately, it can alter branded ARPI market shares, which affects Nubeqa and therefore darolutamide intermediate suppliers.</w:t>
      </w:r>
    </w:p>
    <w:p>
      <w:pPr>
        <w:pStyle w:val="BodyText"/>
      </w:pPr>
      <w:r>
        <w:t xml:space="preserve">This distinction is critical for Acutaas and Navin Fluorine. Their publicly visible linkage is stronger to Nubeqa than to generic Xtandi. Fermion, Orion’s API business, manufactures darolutamide API for the Bayer and Orion Nubeqa value chain. Acutaas, formerly Ami Organics, has disclosed multiple multi-year, multi-tonne supply agreements with Fermion for advanced pharmaceutical intermediates for a patented product. Market and broker materials link these Fermion intermediates to darolutamide/Nubeqa. Navin Fluorine’s linkage is less directly disclosed by the company in public primary materials, but sell-side sources have identified Navin as a supplier of darolutamide intermediates to Fermion. The evidence hierarchy is therefore: Zydus has direct, company-disclosed enzalutamide tablet tentative approval; Acutaas has direct, company-disclosed Fermion intermediate contracts but the molecule linkage is stronger through market evidence; Navin has plausible darolutamide exposure but requires more explicit management confirmation before being treated as a hard datapoint.</w:t>
      </w:r>
    </w:p>
    <w:p>
      <w:pPr>
        <w:pStyle w:val="BodyText"/>
      </w:pPr>
      <w:r>
        <w:t xml:space="preserve">Chemistry matters because these are small-molecule oral oncology assets. The value chain is not a biologics fermentation or antibody manufacturing chain; it is multi-step organic synthesis, intermediates, API, formulation and specialty distribution. Nubeqa is particularly relevant for Indian chemical suppliers because Bayer and Orion use Fermion for darolutamide API manufacturing, and Fermion can source advanced intermediates from qualified suppliers. Once qualified, suppliers can have sticky business because oncology API and intermediate supply chains require quality systems, process validation, impurity control, audit history and continuity of supply. This is why Acutaas and Navin can be relevant to a prostate cancer note even though they are not drug marketers.</w:t>
      </w:r>
    </w:p>
    <w:p>
      <w:pPr>
        <w:pStyle w:val="BodyText"/>
      </w:pPr>
      <w:r>
        <w:t xml:space="preserve">The post-Xtandi LOE outcome is a two-sided read-through for Nubeqa-linked suppliers. In the bull case, generic enzalutamide mainly cannibalizes branded Xtandi, while physicians continue to prescribe Nubeqa where tolerability, drug-drug interaction profile or label comfort supports differentiation. Under that scenario, Nubeqa continues compounding from its already large base, and darolutamide intermediate suppliers see volume-led growth. In the bear case, generic enzalutamide becomes the payer’s low-cost ARPI anchor across overlapping settings, forcing step-edits or formulary pressure that slows branded Nubeqa and Erleada growth. Under that scenario, Zydus benefits directly, but Acutaas/Navin’s Nubeqa-linked upside is lower.</w:t>
      </w:r>
    </w:p>
    <w:p>
      <w:pPr>
        <w:pStyle w:val="BodyText"/>
      </w:pPr>
      <w:r>
        <w:t xml:space="preserve">Our note should therefore separate three investment conclusions. First, Zydus has a direct, definable opportunity from generic enzalutamide tablets, with our base-case first full-year sales estimate at approximately $60 to 90mn and year-two sales at approximately $50 to 80mn. Second, Acutaas and Navin are not automatically beneficiaries of Xtandi LOE; they are more accurately Nubeqa supply-chain exposures, with upside if Nubeqa gains or defends share post-Xtandi. Third, the ARPI market is large enough for these moving parts to matter: the US sales pool for Xtandi, Nubeqa and Erleada has grown from around $2.8bn in CY21 to around $8.7bn in CY25, and Nubeqa has already scaled to around $2.7bn in US sales. That is the commercial bridge between a pharmaceutical patent cliff and Indian pharma/chemical equity implications.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2026-06-22T11:08:20Z</dcterms:created>
  <dcterms:modified xsi:type="dcterms:W3CDTF">2026-06-22T11:08:20Z</dcterms:modified>
</cp:coreProperties>
</file>

<file path=docProps/custom.xml><?xml version="1.0" encoding="utf-8"?>
<Properties xmlns="http://schemas.openxmlformats.org/officeDocument/2006/custom-properties" xmlns:vt="http://schemas.openxmlformats.org/officeDocument/2006/docPropsVTypes"/>
</file>