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20" w:line="240" w:lineRule="auto"/>
      </w:pPr>
      <w:r>
        <w:rPr>
          <w:rFonts w:ascii="Arial" w:hAnsi="Arial" w:eastAsia="Arial"/>
          <w:b/>
          <w:i w:val="0"/>
          <w:color w:val="2F75B5"/>
          <w:sz w:val="19"/>
        </w:rPr>
        <w:t>SUN PHARMA / ORGANON</w:t>
      </w:r>
    </w:p>
    <w:p>
      <w:pPr>
        <w:keepNext w:val="0"/>
        <w:spacing w:before="0" w:after="40" w:line="240" w:lineRule="auto"/>
      </w:pPr>
      <w:r>
        <w:rPr>
          <w:rFonts w:ascii="Arial" w:hAnsi="Arial" w:eastAsia="Arial"/>
          <w:b/>
          <w:i w:val="0"/>
          <w:color w:val="17365D"/>
          <w:sz w:val="32"/>
        </w:rPr>
        <w:t>Taro cash is part of the funding stack - not the strategic rationale</w:t>
      </w:r>
    </w:p>
    <w:p>
      <w:pPr>
        <w:keepNext w:val="0"/>
        <w:spacing w:before="0" w:after="100" w:line="240" w:lineRule="auto"/>
      </w:pPr>
      <w:r>
        <w:rPr>
          <w:rFonts w:ascii="Arial" w:hAnsi="Arial" w:eastAsia="Arial"/>
          <w:b/>
          <w:i w:val="0"/>
          <w:color w:val="4A4A4A"/>
          <w:sz w:val="18"/>
        </w:rPr>
        <w:t>The accounts support a nuanced conclusion: Sun can and probably will use Taro-linked liquidity, but the size, legal structure and operating evidence do not support the view that Organon is primarily a cash-extraction transaction.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75"/>
        <w:gridCol w:w="2675"/>
        <w:gridCol w:w="2675"/>
        <w:gridCol w:w="2675"/>
      </w:tblGrid>
      <w:tr>
        <w:tc>
          <w:tcPr>
            <w:tcW w:type="dxa" w:w="2635"/>
            <w:shd w:fill="EDF4FA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keepNext w:val="0"/>
              <w:spacing w:before="0" w:after="0" w:line="228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365D"/>
                <w:sz w:val="24"/>
              </w:rPr>
              <w:t>US$673m</w:t>
            </w:r>
          </w:p>
          <w:p>
            <w:pPr>
              <w:keepNext w:val="0"/>
              <w:spacing w:before="0" w:after="0" w:line="228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4A4A4A"/>
                <w:sz w:val="13"/>
              </w:rPr>
              <w:t>Taro-linked liquid assets</w:t>
            </w:r>
          </w:p>
        </w:tc>
        <w:tc>
          <w:tcPr>
            <w:tcW w:type="dxa" w:w="2635"/>
            <w:shd w:fill="D9EAF7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keepNext w:val="0"/>
              <w:spacing w:before="0" w:after="0" w:line="228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365D"/>
                <w:sz w:val="24"/>
              </w:rPr>
              <w:t>US$556m</w:t>
            </w:r>
          </w:p>
          <w:p>
            <w:pPr>
              <w:keepNext w:val="0"/>
              <w:spacing w:before="0" w:after="0" w:line="228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4A4A4A"/>
                <w:sz w:val="13"/>
              </w:rPr>
              <w:t>held in Sun Pharma Canada</w:t>
            </w:r>
          </w:p>
        </w:tc>
        <w:tc>
          <w:tcPr>
            <w:tcW w:type="dxa" w:w="2635"/>
            <w:shd w:fill="EDF4FA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keepNext w:val="0"/>
              <w:spacing w:before="0" w:after="0" w:line="228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365D"/>
                <w:sz w:val="24"/>
              </w:rPr>
              <w:t>~US$540m</w:t>
            </w:r>
          </w:p>
          <w:p>
            <w:pPr>
              <w:keepNext w:val="0"/>
              <w:spacing w:before="0" w:after="0" w:line="228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4A4A4A"/>
                <w:sz w:val="13"/>
              </w:rPr>
              <w:t>deployable after reserve/tax case</w:t>
            </w:r>
          </w:p>
        </w:tc>
        <w:tc>
          <w:tcPr>
            <w:tcW w:type="dxa" w:w="2635"/>
            <w:shd w:fill="D9EAF7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keepNext w:val="0"/>
              <w:spacing w:before="0" w:after="0" w:line="228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365D"/>
                <w:sz w:val="24"/>
              </w:rPr>
              <w:t>4.6%</w:t>
            </w:r>
          </w:p>
          <w:p>
            <w:pPr>
              <w:keepNext w:val="0"/>
              <w:spacing w:before="0" w:after="0" w:line="228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4A4A4A"/>
                <w:sz w:val="13"/>
              </w:rPr>
              <w:t>of Organon enterprise value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49"/>
        <w:gridCol w:w="5349"/>
      </w:tblGrid>
      <w:tr>
        <w:tc>
          <w:tcPr>
            <w:tcW w:type="dxa" w:w="5832"/>
            <w:tcMar>
              <w:top w:w="35" w:type="dxa"/>
              <w:start w:w="20" w:type="dxa"/>
              <w:bottom w:w="20" w:type="dxa"/>
              <w:end w:w="2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  <w:p>
            <w:pPr>
              <w:keepNext/>
              <w:spacing w:before="40" w:after="60" w:line="240" w:lineRule="auto"/>
              <w:pBdr>
                <w:bottom w:val="single" w:sz="8" w:space="2" w:color="2F75B5"/>
              </w:pBdr>
            </w:pPr>
            <w:r>
              <w:rPr>
                <w:rFonts w:ascii="Arial" w:hAnsi="Arial" w:eastAsia="Arial"/>
                <w:b/>
                <w:i w:val="0"/>
                <w:color w:val="17365D"/>
                <w:sz w:val="20"/>
              </w:rPr>
              <w:t>Our conclusion</w:t>
            </w:r>
          </w:p>
          <w:p>
            <w:pPr>
              <w:keepNext w:val="0"/>
              <w:spacing w:before="0" w:after="60" w:line="247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Investor concern is directionally correct on one point: after Sun acquired the remaining Taro minorities in June 2024, the historic minority-governance constraint largely disappeared. There is no blanket legal clause that makes Taro cash unusable. The remaining constraints are ordinary corporate solvency, operating liquidity, tax leakage, transfer-pricing and cross-border financing rules.</w:t>
            </w:r>
          </w:p>
          <w:p>
            <w:pPr>
              <w:keepNext w:val="0"/>
              <w:spacing w:before="0" w:after="60" w:line="247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The Organon merger agreement goes further: Sun Pharma Canada and Sun Pharma Netherlands are primary guarantors of the payment obligations, while the Indian parent is required to fund US$1.0bn. This explicitly puts overseas subsidiaries - including the entity holding most former Taro liquidity - inside the acquisition financing architecture.</w:t>
            </w:r>
          </w:p>
          <w:p>
            <w:pPr>
              <w:keepNext w:val="0"/>
              <w:spacing w:before="0" w:after="0" w:line="247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However, Taro cash is economically too small to be the deal rationale. Headline liquidity is only 5.7% of Organon's US$11.75bn enterprise value. After a 60-day operating reserve and a conservative 5% Canada-to-Israel dividend withholding case, deployable cash is ~US$540m, or 4.6% of EV.</w:t>
            </w:r>
          </w:p>
        </w:tc>
        <w:tc>
          <w:tcPr>
            <w:tcW w:type="dxa" w:w="4752"/>
            <w:tcMar>
              <w:top w:w="35" w:type="dxa"/>
              <w:start w:w="20" w:type="dxa"/>
              <w:bottom w:w="20" w:type="dxa"/>
              <w:end w:w="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spacing w:before="4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155209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ro_liquidity_by_entit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5520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/>
                <w:color w:val="4A4A4A"/>
                <w:sz w:val="13"/>
              </w:rPr>
              <w:t>Canada holds 83% of the pool; cash is not evenly distributed.</w:t>
            </w:r>
          </w:p>
        </w:tc>
      </w:tr>
    </w:tbl>
    <w:p>
      <w:pPr>
        <w:keepNext/>
        <w:spacing w:before="40" w:after="60" w:line="240" w:lineRule="auto"/>
        <w:pBdr>
          <w:bottom w:val="single" w:sz="8" w:space="2" w:color="2F75B5"/>
        </w:pBdr>
      </w:pPr>
      <w:r>
        <w:rPr>
          <w:rFonts w:ascii="Arial" w:hAnsi="Arial" w:eastAsia="Arial"/>
          <w:b/>
          <w:i w:val="0"/>
          <w:color w:val="17365D"/>
          <w:sz w:val="20"/>
        </w:rPr>
        <w:t>FY26 legal-entity map: four operating entities, two effectively dormant shells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28"/>
        <w:gridCol w:w="1528"/>
        <w:gridCol w:w="1528"/>
        <w:gridCol w:w="1528"/>
        <w:gridCol w:w="1528"/>
        <w:gridCol w:w="1528"/>
        <w:gridCol w:w="1528"/>
      </w:tblGrid>
      <w:tr>
        <w:tc>
          <w:tcPr>
            <w:tcW w:type="dxa" w:w="1440"/>
            <w:shd w:fill="17365D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keepNext w:val="0"/>
              <w:spacing w:before="0" w:after="0" w:line="221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Entity</w:t>
            </w:r>
          </w:p>
        </w:tc>
        <w:tc>
          <w:tcPr>
            <w:tcW w:type="dxa" w:w="2232"/>
            <w:shd w:fill="17365D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keepNext w:val="0"/>
              <w:spacing w:before="0" w:after="0" w:line="221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Primary role</w:t>
            </w:r>
          </w:p>
        </w:tc>
        <w:tc>
          <w:tcPr>
            <w:tcW w:type="dxa" w:w="1007"/>
            <w:shd w:fill="17365D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keepNext w:val="0"/>
              <w:spacing w:before="0" w:after="0" w:line="221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Liquid</w:t>
              <w:br/>
              <w:t>assets</w:t>
            </w:r>
          </w:p>
        </w:tc>
        <w:tc>
          <w:tcPr>
            <w:tcW w:type="dxa" w:w="835"/>
            <w:shd w:fill="17365D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keepNext w:val="0"/>
              <w:spacing w:before="0" w:after="0" w:line="221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Trade</w:t>
              <w:br/>
              <w:t>AR</w:t>
            </w:r>
          </w:p>
        </w:tc>
        <w:tc>
          <w:tcPr>
            <w:tcW w:type="dxa" w:w="835"/>
            <w:shd w:fill="17365D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keepNext w:val="0"/>
              <w:spacing w:before="0" w:after="0" w:line="221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Inventory</w:t>
            </w:r>
          </w:p>
        </w:tc>
        <w:tc>
          <w:tcPr>
            <w:tcW w:type="dxa" w:w="835"/>
            <w:shd w:fill="17365D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keepNext w:val="0"/>
              <w:spacing w:before="0" w:after="0" w:line="221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Trade</w:t>
              <w:br/>
              <w:t>AP</w:t>
            </w:r>
          </w:p>
        </w:tc>
        <w:tc>
          <w:tcPr>
            <w:tcW w:type="dxa" w:w="3384"/>
            <w:shd w:fill="17365D"/>
            <w:tcMar>
              <w:top w:w="45" w:type="dxa"/>
              <w:start w:w="35" w:type="dxa"/>
              <w:bottom w:w="45" w:type="dxa"/>
              <w:end w:w="35" w:type="dxa"/>
            </w:tcMar>
          </w:tcPr>
          <w:p>
            <w:pPr>
              <w:keepNext w:val="0"/>
              <w:spacing w:before="0" w:after="0" w:line="221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Analytical read-through</w:t>
            </w:r>
          </w:p>
        </w:tc>
      </w:tr>
      <w:tr>
        <w:tc>
          <w:tcPr>
            <w:tcW w:type="dxa" w:w="1440"/>
            <w:shd w:fill="FFFFFF"/>
            <w:tcMar>
              <w:top w:w="32" w:type="dxa"/>
              <w:start w:w="30" w:type="dxa"/>
              <w:bottom w:w="32" w:type="dxa"/>
              <w:end w:w="30" w:type="dxa"/>
            </w:tcMar>
            <w:vAlign w:val="center"/>
          </w:tcPr>
          <w:p>
            <w:pPr>
              <w:keepNext w:val="0"/>
              <w:spacing w:before="0" w:after="0" w:line="221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365D"/>
                <w:sz w:val="12"/>
              </w:rPr>
              <w:t>Sun Pharma Canada</w:t>
            </w:r>
          </w:p>
        </w:tc>
        <w:tc>
          <w:tcPr>
            <w:tcW w:type="dxa" w:w="2232"/>
            <w:shd w:fill="FFFFFF"/>
            <w:tcMar>
              <w:top w:w="32" w:type="dxa"/>
              <w:start w:w="30" w:type="dxa"/>
              <w:bottom w:w="32" w:type="dxa"/>
              <w:end w:w="30" w:type="dxa"/>
            </w:tcMar>
            <w:vAlign w:val="center"/>
          </w:tcPr>
          <w:p>
            <w:pPr>
              <w:keepNext w:val="0"/>
              <w:spacing w:before="0" w:after="0" w:line="221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Operating company; treasury and receivables purchaser</w:t>
            </w:r>
          </w:p>
        </w:tc>
        <w:tc>
          <w:tcPr>
            <w:tcW w:type="dxa" w:w="1007"/>
            <w:shd w:fill="FFFFFF"/>
            <w:tcMar>
              <w:top w:w="32" w:type="dxa"/>
              <w:start w:w="30" w:type="dxa"/>
              <w:bottom w:w="32" w:type="dxa"/>
              <w:end w:w="30" w:type="dxa"/>
            </w:tcMar>
            <w:vAlign w:val="center"/>
          </w:tcPr>
          <w:p>
            <w:pPr>
              <w:keepNext w:val="0"/>
              <w:spacing w:before="0" w:after="0" w:line="221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555.8</w:t>
            </w:r>
          </w:p>
        </w:tc>
        <w:tc>
          <w:tcPr>
            <w:tcW w:type="dxa" w:w="835"/>
            <w:shd w:fill="FFFFFF"/>
            <w:tcMar>
              <w:top w:w="32" w:type="dxa"/>
              <w:start w:w="30" w:type="dxa"/>
              <w:bottom w:w="32" w:type="dxa"/>
              <w:end w:w="30" w:type="dxa"/>
            </w:tcMar>
            <w:vAlign w:val="center"/>
          </w:tcPr>
          <w:p>
            <w:pPr>
              <w:keepNext w:val="0"/>
              <w:spacing w:before="0" w:after="0" w:line="221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177.6</w:t>
            </w:r>
          </w:p>
        </w:tc>
        <w:tc>
          <w:tcPr>
            <w:tcW w:type="dxa" w:w="835"/>
            <w:shd w:fill="FFFFFF"/>
            <w:tcMar>
              <w:top w:w="32" w:type="dxa"/>
              <w:start w:w="30" w:type="dxa"/>
              <w:bottom w:w="32" w:type="dxa"/>
              <w:end w:w="30" w:type="dxa"/>
            </w:tcMar>
            <w:vAlign w:val="center"/>
          </w:tcPr>
          <w:p>
            <w:pPr>
              <w:keepNext w:val="0"/>
              <w:spacing w:before="0" w:after="0" w:line="221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114.7</w:t>
            </w:r>
          </w:p>
        </w:tc>
        <w:tc>
          <w:tcPr>
            <w:tcW w:type="dxa" w:w="835"/>
            <w:shd w:fill="FFFFFF"/>
            <w:tcMar>
              <w:top w:w="32" w:type="dxa"/>
              <w:start w:w="30" w:type="dxa"/>
              <w:bottom w:w="32" w:type="dxa"/>
              <w:end w:w="30" w:type="dxa"/>
            </w:tcMar>
            <w:vAlign w:val="center"/>
          </w:tcPr>
          <w:p>
            <w:pPr>
              <w:keepNext w:val="0"/>
              <w:spacing w:before="0" w:after="0" w:line="221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21.7</w:t>
            </w:r>
          </w:p>
        </w:tc>
        <w:tc>
          <w:tcPr>
            <w:tcW w:type="dxa" w:w="3384"/>
            <w:shd w:fill="FFFFFF"/>
            <w:tcMar>
              <w:top w:w="32" w:type="dxa"/>
              <w:start w:w="30" w:type="dxa"/>
              <w:bottom w:w="32" w:type="dxa"/>
              <w:end w:w="30" w:type="dxa"/>
            </w:tcMar>
            <w:vAlign w:val="center"/>
          </w:tcPr>
          <w:p>
            <w:pPr>
              <w:keepNext w:val="0"/>
              <w:spacing w:before="0" w:after="0" w:line="221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Core liquidity hub; still has real sales, inventory and rebate/accrual obligations.</w:t>
            </w:r>
          </w:p>
        </w:tc>
      </w:tr>
      <w:tr>
        <w:tc>
          <w:tcPr>
            <w:tcW w:type="dxa" w:w="1440"/>
            <w:shd w:fill="F2F2F2"/>
            <w:tcMar>
              <w:top w:w="32" w:type="dxa"/>
              <w:start w:w="30" w:type="dxa"/>
              <w:bottom w:w="32" w:type="dxa"/>
              <w:end w:w="30" w:type="dxa"/>
            </w:tcMar>
            <w:vAlign w:val="center"/>
          </w:tcPr>
          <w:p>
            <w:pPr>
              <w:keepNext w:val="0"/>
              <w:spacing w:before="0" w:after="0" w:line="221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365D"/>
                <w:sz w:val="12"/>
              </w:rPr>
              <w:t>Taro Israel</w:t>
            </w:r>
          </w:p>
        </w:tc>
        <w:tc>
          <w:tcPr>
            <w:tcW w:type="dxa" w:w="2232"/>
            <w:shd w:fill="F2F2F2"/>
            <w:tcMar>
              <w:top w:w="32" w:type="dxa"/>
              <w:start w:w="30" w:type="dxa"/>
              <w:bottom w:w="32" w:type="dxa"/>
              <w:end w:w="30" w:type="dxa"/>
            </w:tcMar>
            <w:vAlign w:val="center"/>
          </w:tcPr>
          <w:p>
            <w:pPr>
              <w:keepNext w:val="0"/>
              <w:spacing w:before="0" w:after="0" w:line="221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Manufacturing, R&amp;D, IP and Taro parent</w:t>
            </w:r>
          </w:p>
        </w:tc>
        <w:tc>
          <w:tcPr>
            <w:tcW w:type="dxa" w:w="1007"/>
            <w:shd w:fill="F2F2F2"/>
            <w:tcMar>
              <w:top w:w="32" w:type="dxa"/>
              <w:start w:w="30" w:type="dxa"/>
              <w:bottom w:w="32" w:type="dxa"/>
              <w:end w:w="30" w:type="dxa"/>
            </w:tcMar>
            <w:vAlign w:val="center"/>
          </w:tcPr>
          <w:p>
            <w:pPr>
              <w:keepNext w:val="0"/>
              <w:spacing w:before="0" w:after="0" w:line="221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85.6</w:t>
            </w:r>
          </w:p>
        </w:tc>
        <w:tc>
          <w:tcPr>
            <w:tcW w:type="dxa" w:w="835"/>
            <w:shd w:fill="F2F2F2"/>
            <w:tcMar>
              <w:top w:w="32" w:type="dxa"/>
              <w:start w:w="30" w:type="dxa"/>
              <w:bottom w:w="32" w:type="dxa"/>
              <w:end w:w="30" w:type="dxa"/>
            </w:tcMar>
            <w:vAlign w:val="center"/>
          </w:tcPr>
          <w:p>
            <w:pPr>
              <w:keepNext w:val="0"/>
              <w:spacing w:before="0" w:after="0" w:line="221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58.0</w:t>
            </w:r>
          </w:p>
        </w:tc>
        <w:tc>
          <w:tcPr>
            <w:tcW w:type="dxa" w:w="835"/>
            <w:shd w:fill="F2F2F2"/>
            <w:tcMar>
              <w:top w:w="32" w:type="dxa"/>
              <w:start w:w="30" w:type="dxa"/>
              <w:bottom w:w="32" w:type="dxa"/>
              <w:end w:w="30" w:type="dxa"/>
            </w:tcMar>
            <w:vAlign w:val="center"/>
          </w:tcPr>
          <w:p>
            <w:pPr>
              <w:keepNext w:val="0"/>
              <w:spacing w:before="0" w:after="0" w:line="221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65.8</w:t>
            </w:r>
          </w:p>
        </w:tc>
        <w:tc>
          <w:tcPr>
            <w:tcW w:type="dxa" w:w="835"/>
            <w:shd w:fill="F2F2F2"/>
            <w:tcMar>
              <w:top w:w="32" w:type="dxa"/>
              <w:start w:w="30" w:type="dxa"/>
              <w:bottom w:w="32" w:type="dxa"/>
              <w:end w:w="30" w:type="dxa"/>
            </w:tcMar>
            <w:vAlign w:val="center"/>
          </w:tcPr>
          <w:p>
            <w:pPr>
              <w:keepNext w:val="0"/>
              <w:spacing w:before="0" w:after="0" w:line="221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16.6</w:t>
            </w:r>
          </w:p>
        </w:tc>
        <w:tc>
          <w:tcPr>
            <w:tcW w:type="dxa" w:w="3384"/>
            <w:shd w:fill="F2F2F2"/>
            <w:tcMar>
              <w:top w:w="32" w:type="dxa"/>
              <w:start w:w="30" w:type="dxa"/>
              <w:bottom w:w="32" w:type="dxa"/>
              <w:end w:w="30" w:type="dxa"/>
            </w:tcMar>
            <w:vAlign w:val="center"/>
          </w:tcPr>
          <w:p>
            <w:pPr>
              <w:keepNext w:val="0"/>
              <w:spacing w:before="0" w:after="0" w:line="221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US$138m of FY26 sales were to connected entities; economically integrated supply node.</w:t>
            </w:r>
          </w:p>
        </w:tc>
      </w:tr>
      <w:tr>
        <w:tc>
          <w:tcPr>
            <w:tcW w:type="dxa" w:w="1440"/>
            <w:shd w:fill="FFFFFF"/>
            <w:tcMar>
              <w:top w:w="32" w:type="dxa"/>
              <w:start w:w="30" w:type="dxa"/>
              <w:bottom w:w="32" w:type="dxa"/>
              <w:end w:w="30" w:type="dxa"/>
            </w:tcMar>
            <w:vAlign w:val="center"/>
          </w:tcPr>
          <w:p>
            <w:pPr>
              <w:keepNext w:val="0"/>
              <w:spacing w:before="0" w:after="0" w:line="221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365D"/>
                <w:sz w:val="12"/>
              </w:rPr>
              <w:t>Taro International</w:t>
            </w:r>
          </w:p>
        </w:tc>
        <w:tc>
          <w:tcPr>
            <w:tcW w:type="dxa" w:w="2232"/>
            <w:shd w:fill="FFFFFF"/>
            <w:tcMar>
              <w:top w:w="32" w:type="dxa"/>
              <w:start w:w="30" w:type="dxa"/>
              <w:bottom w:w="32" w:type="dxa"/>
              <w:end w:w="30" w:type="dxa"/>
            </w:tcMar>
            <w:vAlign w:val="center"/>
          </w:tcPr>
          <w:p>
            <w:pPr>
              <w:keepNext w:val="0"/>
              <w:spacing w:before="0" w:after="0" w:line="221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Small Israel/overseas marketer</w:t>
            </w:r>
          </w:p>
        </w:tc>
        <w:tc>
          <w:tcPr>
            <w:tcW w:type="dxa" w:w="1007"/>
            <w:shd w:fill="FFFFFF"/>
            <w:tcMar>
              <w:top w:w="32" w:type="dxa"/>
              <w:start w:w="30" w:type="dxa"/>
              <w:bottom w:w="32" w:type="dxa"/>
              <w:end w:w="30" w:type="dxa"/>
            </w:tcMar>
            <w:vAlign w:val="center"/>
          </w:tcPr>
          <w:p>
            <w:pPr>
              <w:keepNext w:val="0"/>
              <w:spacing w:before="0" w:after="0" w:line="221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22.3</w:t>
            </w:r>
          </w:p>
        </w:tc>
        <w:tc>
          <w:tcPr>
            <w:tcW w:type="dxa" w:w="835"/>
            <w:shd w:fill="FFFFFF"/>
            <w:tcMar>
              <w:top w:w="32" w:type="dxa"/>
              <w:start w:w="30" w:type="dxa"/>
              <w:bottom w:w="32" w:type="dxa"/>
              <w:end w:w="30" w:type="dxa"/>
            </w:tcMar>
            <w:vAlign w:val="center"/>
          </w:tcPr>
          <w:p>
            <w:pPr>
              <w:keepNext w:val="0"/>
              <w:spacing w:before="0" w:after="0" w:line="221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11.7</w:t>
            </w:r>
          </w:p>
        </w:tc>
        <w:tc>
          <w:tcPr>
            <w:tcW w:type="dxa" w:w="835"/>
            <w:shd w:fill="FFFFFF"/>
            <w:tcMar>
              <w:top w:w="32" w:type="dxa"/>
              <w:start w:w="30" w:type="dxa"/>
              <w:bottom w:w="32" w:type="dxa"/>
              <w:end w:w="30" w:type="dxa"/>
            </w:tcMar>
            <w:vAlign w:val="center"/>
          </w:tcPr>
          <w:p>
            <w:pPr>
              <w:keepNext w:val="0"/>
              <w:spacing w:before="0" w:after="0" w:line="221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7.6</w:t>
            </w:r>
          </w:p>
        </w:tc>
        <w:tc>
          <w:tcPr>
            <w:tcW w:type="dxa" w:w="835"/>
            <w:shd w:fill="FFFFFF"/>
            <w:tcMar>
              <w:top w:w="32" w:type="dxa"/>
              <w:start w:w="30" w:type="dxa"/>
              <w:bottom w:w="32" w:type="dxa"/>
              <w:end w:w="30" w:type="dxa"/>
            </w:tcMar>
            <w:vAlign w:val="center"/>
          </w:tcPr>
          <w:p>
            <w:pPr>
              <w:keepNext w:val="0"/>
              <w:spacing w:before="0" w:after="0" w:line="221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4.1</w:t>
            </w:r>
          </w:p>
        </w:tc>
        <w:tc>
          <w:tcPr>
            <w:tcW w:type="dxa" w:w="3384"/>
            <w:shd w:fill="FFFFFF"/>
            <w:tcMar>
              <w:top w:w="32" w:type="dxa"/>
              <w:start w:w="30" w:type="dxa"/>
              <w:bottom w:w="32" w:type="dxa"/>
              <w:end w:w="30" w:type="dxa"/>
            </w:tcMar>
            <w:vAlign w:val="center"/>
          </w:tcPr>
          <w:p>
            <w:pPr>
              <w:keepNext w:val="0"/>
              <w:spacing w:before="0" w:after="0" w:line="221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Modest operating subsidiary; some affiliate receivables.</w:t>
            </w:r>
          </w:p>
        </w:tc>
      </w:tr>
      <w:tr>
        <w:tc>
          <w:tcPr>
            <w:tcW w:type="dxa" w:w="1440"/>
            <w:shd w:fill="F2F2F2"/>
            <w:tcMar>
              <w:top w:w="32" w:type="dxa"/>
              <w:start w:w="30" w:type="dxa"/>
              <w:bottom w:w="32" w:type="dxa"/>
              <w:end w:w="30" w:type="dxa"/>
            </w:tcMar>
            <w:vAlign w:val="center"/>
          </w:tcPr>
          <w:p>
            <w:pPr>
              <w:keepNext w:val="0"/>
              <w:spacing w:before="0" w:after="0" w:line="221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365D"/>
                <w:sz w:val="12"/>
              </w:rPr>
              <w:t>Taro USA</w:t>
            </w:r>
          </w:p>
        </w:tc>
        <w:tc>
          <w:tcPr>
            <w:tcW w:type="dxa" w:w="2232"/>
            <w:shd w:fill="F2F2F2"/>
            <w:tcMar>
              <w:top w:w="32" w:type="dxa"/>
              <w:start w:w="30" w:type="dxa"/>
              <w:bottom w:w="32" w:type="dxa"/>
              <w:end w:w="30" w:type="dxa"/>
            </w:tcMar>
            <w:vAlign w:val="center"/>
          </w:tcPr>
          <w:p>
            <w:pPr>
              <w:keepNext w:val="0"/>
              <w:spacing w:before="0" w:after="0" w:line="221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Legacy US distributor; LRD moved to Sun US</w:t>
            </w:r>
          </w:p>
        </w:tc>
        <w:tc>
          <w:tcPr>
            <w:tcW w:type="dxa" w:w="1007"/>
            <w:shd w:fill="F2F2F2"/>
            <w:tcMar>
              <w:top w:w="32" w:type="dxa"/>
              <w:start w:w="30" w:type="dxa"/>
              <w:bottom w:w="32" w:type="dxa"/>
              <w:end w:w="30" w:type="dxa"/>
            </w:tcMar>
            <w:vAlign w:val="center"/>
          </w:tcPr>
          <w:p>
            <w:pPr>
              <w:keepNext w:val="0"/>
              <w:spacing w:before="0" w:after="0" w:line="221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9.5</w:t>
            </w:r>
          </w:p>
        </w:tc>
        <w:tc>
          <w:tcPr>
            <w:tcW w:type="dxa" w:w="835"/>
            <w:shd w:fill="F2F2F2"/>
            <w:tcMar>
              <w:top w:w="32" w:type="dxa"/>
              <w:start w:w="30" w:type="dxa"/>
              <w:bottom w:w="32" w:type="dxa"/>
              <w:end w:w="30" w:type="dxa"/>
            </w:tcMar>
            <w:vAlign w:val="center"/>
          </w:tcPr>
          <w:p>
            <w:pPr>
              <w:keepNext w:val="0"/>
              <w:spacing w:before="0" w:after="0" w:line="221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(6.6)</w:t>
            </w:r>
          </w:p>
        </w:tc>
        <w:tc>
          <w:tcPr>
            <w:tcW w:type="dxa" w:w="835"/>
            <w:shd w:fill="F2F2F2"/>
            <w:tcMar>
              <w:top w:w="32" w:type="dxa"/>
              <w:start w:w="30" w:type="dxa"/>
              <w:bottom w:w="32" w:type="dxa"/>
              <w:end w:w="30" w:type="dxa"/>
            </w:tcMar>
            <w:vAlign w:val="center"/>
          </w:tcPr>
          <w:p>
            <w:pPr>
              <w:keepNext w:val="0"/>
              <w:spacing w:before="0" w:after="0" w:line="221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~0</w:t>
            </w:r>
          </w:p>
        </w:tc>
        <w:tc>
          <w:tcPr>
            <w:tcW w:type="dxa" w:w="835"/>
            <w:shd w:fill="F2F2F2"/>
            <w:tcMar>
              <w:top w:w="32" w:type="dxa"/>
              <w:start w:w="30" w:type="dxa"/>
              <w:bottom w:w="32" w:type="dxa"/>
              <w:end w:w="30" w:type="dxa"/>
            </w:tcMar>
            <w:vAlign w:val="center"/>
          </w:tcPr>
          <w:p>
            <w:pPr>
              <w:keepNext w:val="0"/>
              <w:spacing w:before="0" w:after="0" w:line="221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16.6</w:t>
            </w:r>
          </w:p>
        </w:tc>
        <w:tc>
          <w:tcPr>
            <w:tcW w:type="dxa" w:w="3384"/>
            <w:shd w:fill="F2F2F2"/>
            <w:tcMar>
              <w:top w:w="32" w:type="dxa"/>
              <w:start w:w="30" w:type="dxa"/>
              <w:bottom w:w="32" w:type="dxa"/>
              <w:end w:w="30" w:type="dxa"/>
            </w:tcMar>
            <w:vAlign w:val="center"/>
          </w:tcPr>
          <w:p>
            <w:pPr>
              <w:keepNext w:val="0"/>
              <w:spacing w:before="0" w:after="0" w:line="221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Sales fell to US$62m and inventory to near-zero; balance sheet is dominated by intercompany balances.</w:t>
            </w:r>
          </w:p>
        </w:tc>
      </w:tr>
      <w:tr>
        <w:tc>
          <w:tcPr>
            <w:tcW w:type="dxa" w:w="1440"/>
            <w:shd w:fill="FFFFFF"/>
            <w:tcMar>
              <w:top w:w="32" w:type="dxa"/>
              <w:start w:w="30" w:type="dxa"/>
              <w:bottom w:w="32" w:type="dxa"/>
              <w:end w:w="30" w:type="dxa"/>
            </w:tcMar>
            <w:vAlign w:val="center"/>
          </w:tcPr>
          <w:p>
            <w:pPr>
              <w:keepNext w:val="0"/>
              <w:spacing w:before="0" w:after="0" w:line="221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365D"/>
                <w:sz w:val="12"/>
              </w:rPr>
              <w:t>Taro North America</w:t>
            </w:r>
          </w:p>
        </w:tc>
        <w:tc>
          <w:tcPr>
            <w:tcW w:type="dxa" w:w="2232"/>
            <w:shd w:fill="FFFFFF"/>
            <w:tcMar>
              <w:top w:w="32" w:type="dxa"/>
              <w:start w:w="30" w:type="dxa"/>
              <w:bottom w:w="32" w:type="dxa"/>
              <w:end w:w="30" w:type="dxa"/>
            </w:tcMar>
            <w:vAlign w:val="center"/>
          </w:tcPr>
          <w:p>
            <w:pPr>
              <w:keepNext w:val="0"/>
              <w:spacing w:before="0" w:after="0" w:line="221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Non-operating holding/goodwill shell</w:t>
            </w:r>
          </w:p>
        </w:tc>
        <w:tc>
          <w:tcPr>
            <w:tcW w:type="dxa" w:w="1007"/>
            <w:shd w:fill="FFFFFF"/>
            <w:tcMar>
              <w:top w:w="32" w:type="dxa"/>
              <w:start w:w="30" w:type="dxa"/>
              <w:bottom w:w="32" w:type="dxa"/>
              <w:end w:w="30" w:type="dxa"/>
            </w:tcMar>
            <w:vAlign w:val="center"/>
          </w:tcPr>
          <w:p>
            <w:pPr>
              <w:keepNext w:val="0"/>
              <w:spacing w:before="0" w:after="0" w:line="221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~0</w:t>
            </w:r>
          </w:p>
        </w:tc>
        <w:tc>
          <w:tcPr>
            <w:tcW w:type="dxa" w:w="835"/>
            <w:shd w:fill="FFFFFF"/>
            <w:tcMar>
              <w:top w:w="32" w:type="dxa"/>
              <w:start w:w="30" w:type="dxa"/>
              <w:bottom w:w="32" w:type="dxa"/>
              <w:end w:w="30" w:type="dxa"/>
            </w:tcMar>
            <w:vAlign w:val="center"/>
          </w:tcPr>
          <w:p>
            <w:pPr>
              <w:keepNext w:val="0"/>
              <w:spacing w:before="0" w:after="0" w:line="221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-</w:t>
            </w:r>
          </w:p>
        </w:tc>
        <w:tc>
          <w:tcPr>
            <w:tcW w:type="dxa" w:w="835"/>
            <w:shd w:fill="FFFFFF"/>
            <w:tcMar>
              <w:top w:w="32" w:type="dxa"/>
              <w:start w:w="30" w:type="dxa"/>
              <w:bottom w:w="32" w:type="dxa"/>
              <w:end w:w="30" w:type="dxa"/>
            </w:tcMar>
            <w:vAlign w:val="center"/>
          </w:tcPr>
          <w:p>
            <w:pPr>
              <w:keepNext w:val="0"/>
              <w:spacing w:before="0" w:after="0" w:line="221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-</w:t>
            </w:r>
          </w:p>
        </w:tc>
        <w:tc>
          <w:tcPr>
            <w:tcW w:type="dxa" w:w="835"/>
            <w:shd w:fill="FFFFFF"/>
            <w:tcMar>
              <w:top w:w="32" w:type="dxa"/>
              <w:start w:w="30" w:type="dxa"/>
              <w:bottom w:w="32" w:type="dxa"/>
              <w:end w:w="30" w:type="dxa"/>
            </w:tcMar>
            <w:vAlign w:val="center"/>
          </w:tcPr>
          <w:p>
            <w:pPr>
              <w:keepNext w:val="0"/>
              <w:spacing w:before="0" w:after="0" w:line="221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-</w:t>
            </w:r>
          </w:p>
        </w:tc>
        <w:tc>
          <w:tcPr>
            <w:tcW w:type="dxa" w:w="3384"/>
            <w:shd w:fill="FFFFFF"/>
            <w:tcMar>
              <w:top w:w="32" w:type="dxa"/>
              <w:start w:w="30" w:type="dxa"/>
              <w:bottom w:w="32" w:type="dxa"/>
              <w:end w:w="30" w:type="dxa"/>
            </w:tcMar>
            <w:vAlign w:val="center"/>
          </w:tcPr>
          <w:p>
            <w:pPr>
              <w:keepNext w:val="0"/>
              <w:spacing w:before="0" w:after="0" w:line="221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No sales; US$373m asset base is almost entirely goodwill.</w:t>
            </w:r>
          </w:p>
        </w:tc>
      </w:tr>
      <w:tr>
        <w:tc>
          <w:tcPr>
            <w:tcW w:type="dxa" w:w="1440"/>
            <w:shd w:fill="F2F2F2"/>
            <w:tcMar>
              <w:top w:w="32" w:type="dxa"/>
              <w:start w:w="30" w:type="dxa"/>
              <w:bottom w:w="32" w:type="dxa"/>
              <w:end w:w="30" w:type="dxa"/>
            </w:tcMar>
            <w:vAlign w:val="center"/>
          </w:tcPr>
          <w:p>
            <w:pPr>
              <w:keepNext w:val="0"/>
              <w:spacing w:before="0" w:after="0" w:line="221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365D"/>
                <w:sz w:val="12"/>
              </w:rPr>
              <w:t>Taro Pharma Corp.</w:t>
            </w:r>
          </w:p>
        </w:tc>
        <w:tc>
          <w:tcPr>
            <w:tcW w:type="dxa" w:w="2232"/>
            <w:shd w:fill="F2F2F2"/>
            <w:tcMar>
              <w:top w:w="32" w:type="dxa"/>
              <w:start w:w="30" w:type="dxa"/>
              <w:bottom w:w="32" w:type="dxa"/>
              <w:end w:w="30" w:type="dxa"/>
            </w:tcMar>
            <w:vAlign w:val="center"/>
          </w:tcPr>
          <w:p>
            <w:pPr>
              <w:keepNext w:val="0"/>
              <w:spacing w:before="0" w:after="0" w:line="221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Dormant shell</w:t>
            </w:r>
          </w:p>
        </w:tc>
        <w:tc>
          <w:tcPr>
            <w:tcW w:type="dxa" w:w="1007"/>
            <w:shd w:fill="F2F2F2"/>
            <w:tcMar>
              <w:top w:w="32" w:type="dxa"/>
              <w:start w:w="30" w:type="dxa"/>
              <w:bottom w:w="32" w:type="dxa"/>
              <w:end w:w="30" w:type="dxa"/>
            </w:tcMar>
            <w:vAlign w:val="center"/>
          </w:tcPr>
          <w:p>
            <w:pPr>
              <w:keepNext w:val="0"/>
              <w:spacing w:before="0" w:after="0" w:line="221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~0</w:t>
            </w:r>
          </w:p>
        </w:tc>
        <w:tc>
          <w:tcPr>
            <w:tcW w:type="dxa" w:w="835"/>
            <w:shd w:fill="F2F2F2"/>
            <w:tcMar>
              <w:top w:w="32" w:type="dxa"/>
              <w:start w:w="30" w:type="dxa"/>
              <w:bottom w:w="32" w:type="dxa"/>
              <w:end w:w="30" w:type="dxa"/>
            </w:tcMar>
            <w:vAlign w:val="center"/>
          </w:tcPr>
          <w:p>
            <w:pPr>
              <w:keepNext w:val="0"/>
              <w:spacing w:before="0" w:after="0" w:line="221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-</w:t>
            </w:r>
          </w:p>
        </w:tc>
        <w:tc>
          <w:tcPr>
            <w:tcW w:type="dxa" w:w="835"/>
            <w:shd w:fill="F2F2F2"/>
            <w:tcMar>
              <w:top w:w="32" w:type="dxa"/>
              <w:start w:w="30" w:type="dxa"/>
              <w:bottom w:w="32" w:type="dxa"/>
              <w:end w:w="30" w:type="dxa"/>
            </w:tcMar>
            <w:vAlign w:val="center"/>
          </w:tcPr>
          <w:p>
            <w:pPr>
              <w:keepNext w:val="0"/>
              <w:spacing w:before="0" w:after="0" w:line="221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-</w:t>
            </w:r>
          </w:p>
        </w:tc>
        <w:tc>
          <w:tcPr>
            <w:tcW w:type="dxa" w:w="835"/>
            <w:shd w:fill="F2F2F2"/>
            <w:tcMar>
              <w:top w:w="32" w:type="dxa"/>
              <w:start w:w="30" w:type="dxa"/>
              <w:bottom w:w="32" w:type="dxa"/>
              <w:end w:w="30" w:type="dxa"/>
            </w:tcMar>
            <w:vAlign w:val="center"/>
          </w:tcPr>
          <w:p>
            <w:pPr>
              <w:keepNext w:val="0"/>
              <w:spacing w:before="0" w:after="0" w:line="221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-</w:t>
            </w:r>
          </w:p>
        </w:tc>
        <w:tc>
          <w:tcPr>
            <w:tcW w:type="dxa" w:w="3384"/>
            <w:shd w:fill="F2F2F2"/>
            <w:tcMar>
              <w:top w:w="32" w:type="dxa"/>
              <w:start w:w="30" w:type="dxa"/>
              <w:bottom w:w="32" w:type="dxa"/>
              <w:end w:w="30" w:type="dxa"/>
            </w:tcMar>
            <w:vAlign w:val="center"/>
          </w:tcPr>
          <w:p>
            <w:pPr>
              <w:keepNext w:val="0"/>
              <w:spacing w:before="0" w:after="0" w:line="221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US$1 total assets; no operating relevance.</w:t>
            </w:r>
          </w:p>
        </w:tc>
      </w:tr>
      <w:tr>
        <w:tc>
          <w:tcPr>
            <w:tcW w:type="dxa" w:w="1440"/>
            <w:shd w:fill="D9E1F2"/>
            <w:tcMar>
              <w:top w:w="32" w:type="dxa"/>
              <w:start w:w="30" w:type="dxa"/>
              <w:bottom w:w="32" w:type="dxa"/>
              <w:end w:w="30" w:type="dxa"/>
            </w:tcMar>
            <w:vAlign w:val="center"/>
          </w:tcPr>
          <w:p>
            <w:pPr>
              <w:keepNext w:val="0"/>
              <w:spacing w:before="0" w:after="0" w:line="221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365D"/>
                <w:sz w:val="12"/>
              </w:rPr>
              <w:t>Gross total*</w:t>
            </w:r>
          </w:p>
        </w:tc>
        <w:tc>
          <w:tcPr>
            <w:tcW w:type="dxa" w:w="2232"/>
            <w:shd w:fill="D9E1F2"/>
            <w:tcMar>
              <w:top w:w="32" w:type="dxa"/>
              <w:start w:w="30" w:type="dxa"/>
              <w:bottom w:w="32" w:type="dxa"/>
              <w:end w:w="30" w:type="dxa"/>
            </w:tcMar>
            <w:vAlign w:val="center"/>
          </w:tcPr>
          <w:p>
            <w:pPr>
              <w:keepNext w:val="0"/>
              <w:spacing w:before="0" w:after="0" w:line="221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2"/>
              </w:rPr>
            </w:r>
          </w:p>
        </w:tc>
        <w:tc>
          <w:tcPr>
            <w:tcW w:type="dxa" w:w="1007"/>
            <w:shd w:fill="D9E1F2"/>
            <w:tcMar>
              <w:top w:w="32" w:type="dxa"/>
              <w:start w:w="30" w:type="dxa"/>
              <w:bottom w:w="32" w:type="dxa"/>
              <w:end w:w="30" w:type="dxa"/>
            </w:tcMar>
            <w:vAlign w:val="center"/>
          </w:tcPr>
          <w:p>
            <w:pPr>
              <w:keepNext w:val="0"/>
              <w:spacing w:before="0" w:after="0" w:line="221" w:lineRule="auto"/>
              <w:jc w:val="right"/>
            </w:pPr>
            <w:r>
              <w:rPr>
                <w:rFonts w:ascii="Arial" w:hAnsi="Arial" w:eastAsia="Arial"/>
                <w:b/>
                <w:i w:val="0"/>
                <w:sz w:val="12"/>
              </w:rPr>
              <w:t>673.3</w:t>
            </w:r>
          </w:p>
        </w:tc>
        <w:tc>
          <w:tcPr>
            <w:tcW w:type="dxa" w:w="835"/>
            <w:shd w:fill="D9E1F2"/>
            <w:tcMar>
              <w:top w:w="32" w:type="dxa"/>
              <w:start w:w="30" w:type="dxa"/>
              <w:bottom w:w="32" w:type="dxa"/>
              <w:end w:w="30" w:type="dxa"/>
            </w:tcMar>
            <w:vAlign w:val="center"/>
          </w:tcPr>
          <w:p>
            <w:pPr>
              <w:keepNext w:val="0"/>
              <w:spacing w:before="0" w:after="0" w:line="221" w:lineRule="auto"/>
              <w:jc w:val="right"/>
            </w:pPr>
            <w:r>
              <w:rPr>
                <w:rFonts w:ascii="Arial" w:hAnsi="Arial" w:eastAsia="Arial"/>
                <w:b/>
                <w:i w:val="0"/>
                <w:sz w:val="12"/>
              </w:rPr>
              <w:t>240.7</w:t>
            </w:r>
          </w:p>
        </w:tc>
        <w:tc>
          <w:tcPr>
            <w:tcW w:type="dxa" w:w="835"/>
            <w:shd w:fill="D9E1F2"/>
            <w:tcMar>
              <w:top w:w="32" w:type="dxa"/>
              <w:start w:w="30" w:type="dxa"/>
              <w:bottom w:w="32" w:type="dxa"/>
              <w:end w:w="30" w:type="dxa"/>
            </w:tcMar>
            <w:vAlign w:val="center"/>
          </w:tcPr>
          <w:p>
            <w:pPr>
              <w:keepNext w:val="0"/>
              <w:spacing w:before="0" w:after="0" w:line="221" w:lineRule="auto"/>
              <w:jc w:val="right"/>
            </w:pPr>
            <w:r>
              <w:rPr>
                <w:rFonts w:ascii="Arial" w:hAnsi="Arial" w:eastAsia="Arial"/>
                <w:b/>
                <w:i w:val="0"/>
                <w:sz w:val="12"/>
              </w:rPr>
              <w:t>188.2</w:t>
            </w:r>
          </w:p>
        </w:tc>
        <w:tc>
          <w:tcPr>
            <w:tcW w:type="dxa" w:w="835"/>
            <w:shd w:fill="D9E1F2"/>
            <w:tcMar>
              <w:top w:w="32" w:type="dxa"/>
              <w:start w:w="30" w:type="dxa"/>
              <w:bottom w:w="32" w:type="dxa"/>
              <w:end w:w="30" w:type="dxa"/>
            </w:tcMar>
            <w:vAlign w:val="center"/>
          </w:tcPr>
          <w:p>
            <w:pPr>
              <w:keepNext w:val="0"/>
              <w:spacing w:before="0" w:after="0" w:line="221" w:lineRule="auto"/>
              <w:jc w:val="right"/>
            </w:pPr>
            <w:r>
              <w:rPr>
                <w:rFonts w:ascii="Arial" w:hAnsi="Arial" w:eastAsia="Arial"/>
                <w:b/>
                <w:i w:val="0"/>
                <w:sz w:val="12"/>
              </w:rPr>
              <w:t>59.0</w:t>
            </w:r>
          </w:p>
        </w:tc>
        <w:tc>
          <w:tcPr>
            <w:tcW w:type="dxa" w:w="3384"/>
            <w:shd w:fill="D9E1F2"/>
            <w:tcMar>
              <w:top w:w="32" w:type="dxa"/>
              <w:start w:w="30" w:type="dxa"/>
              <w:bottom w:w="32" w:type="dxa"/>
              <w:end w:w="30" w:type="dxa"/>
            </w:tcMar>
            <w:vAlign w:val="center"/>
          </w:tcPr>
          <w:p>
            <w:pPr>
              <w:keepNext w:val="0"/>
              <w:spacing w:before="0" w:after="0" w:line="221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2"/>
              </w:rPr>
              <w:t>Before consolidation eliminations; Taro USA trade AR is a credit balance.</w:t>
            </w:r>
          </w:p>
        </w:tc>
      </w:tr>
    </w:tbl>
    <w:p>
      <w:pPr>
        <w:keepNext w:val="0"/>
        <w:spacing w:before="20" w:after="0" w:line="228" w:lineRule="auto"/>
      </w:pPr>
      <w:r>
        <w:rPr>
          <w:rFonts w:ascii="Arial" w:hAnsi="Arial" w:eastAsia="Arial"/>
          <w:b w:val="0"/>
          <w:i/>
          <w:color w:val="4A4A4A"/>
          <w:sz w:val="12"/>
        </w:rPr>
        <w:t>*US$m. Liquid assets include cash, short-term deposits and marketable securities; Taro USA includes US$6.5m of long-term marketable securities. Standalone accounts use different accounting bases and include intercompany items, so totals are directional and not a substitute for consolidated cash.</w:t>
      </w:r>
    </w:p>
    <w:p>
      <w:pPr>
        <w:keepNext/>
        <w:spacing w:before="40" w:after="60" w:line="240" w:lineRule="auto"/>
        <w:pBdr>
          <w:bottom w:val="single" w:sz="8" w:space="2" w:color="2F75B5"/>
        </w:pBdr>
      </w:pPr>
      <w:r>
        <w:rPr>
          <w:rFonts w:ascii="Arial" w:hAnsi="Arial" w:eastAsia="Arial"/>
          <w:b/>
          <w:i w:val="0"/>
          <w:color w:val="17365D"/>
          <w:sz w:val="20"/>
        </w:rPr>
        <w:t>Cash by instrument and what is actually fungible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75"/>
        <w:gridCol w:w="2675"/>
        <w:gridCol w:w="2675"/>
        <w:gridCol w:w="2675"/>
      </w:tblGrid>
      <w:tr>
        <w:tc>
          <w:tcPr>
            <w:tcW w:type="dxa" w:w="2376"/>
            <w:shd w:fill="17365D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Instrument</w:t>
            </w:r>
          </w:p>
        </w:tc>
        <w:tc>
          <w:tcPr>
            <w:tcW w:type="dxa" w:w="1080"/>
            <w:shd w:fill="17365D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US$m</w:t>
            </w:r>
          </w:p>
        </w:tc>
        <w:tc>
          <w:tcPr>
            <w:tcW w:type="dxa" w:w="1224"/>
            <w:shd w:fill="17365D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% of pool</w:t>
            </w:r>
          </w:p>
        </w:tc>
        <w:tc>
          <w:tcPr>
            <w:tcW w:type="dxa" w:w="5832"/>
            <w:shd w:fill="17365D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Accessibility / constraint</w:t>
            </w:r>
          </w:p>
        </w:tc>
      </w:tr>
      <w:tr>
        <w:tc>
          <w:tcPr>
            <w:tcW w:type="dxa" w:w="2376"/>
            <w:shd w:fill="FFFFFF"/>
            <w:tcMar>
              <w:top w:w="27" w:type="dxa"/>
              <w:start w:w="28" w:type="dxa"/>
              <w:bottom w:w="27" w:type="dxa"/>
              <w:end w:w="28" w:type="dxa"/>
            </w:tcMar>
          </w:tcPr>
          <w:p>
            <w:pPr>
              <w:keepNext w:val="0"/>
              <w:spacing w:before="0" w:after="0" w:line="221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365D"/>
                <w:sz w:val="12"/>
              </w:rPr>
              <w:t>Cash and cash equivalents</w:t>
            </w:r>
          </w:p>
        </w:tc>
        <w:tc>
          <w:tcPr>
            <w:tcW w:type="dxa" w:w="1080"/>
            <w:shd w:fill="FFFFFF"/>
            <w:tcMar>
              <w:top w:w="27" w:type="dxa"/>
              <w:start w:w="28" w:type="dxa"/>
              <w:bottom w:w="27" w:type="dxa"/>
              <w:end w:w="28" w:type="dxa"/>
            </w:tcMar>
          </w:tcPr>
          <w:p>
            <w:pPr>
              <w:keepNext w:val="0"/>
              <w:spacing w:before="0" w:after="0" w:line="221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407.6</w:t>
            </w:r>
          </w:p>
        </w:tc>
        <w:tc>
          <w:tcPr>
            <w:tcW w:type="dxa" w:w="1224"/>
            <w:shd w:fill="FFFFFF"/>
            <w:tcMar>
              <w:top w:w="27" w:type="dxa"/>
              <w:start w:w="28" w:type="dxa"/>
              <w:bottom w:w="27" w:type="dxa"/>
              <w:end w:w="28" w:type="dxa"/>
            </w:tcMar>
          </w:tcPr>
          <w:p>
            <w:pPr>
              <w:keepNext w:val="0"/>
              <w:spacing w:before="0" w:after="0" w:line="221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60.5%</w:t>
            </w:r>
          </w:p>
        </w:tc>
        <w:tc>
          <w:tcPr>
            <w:tcW w:type="dxa" w:w="5832"/>
            <w:shd w:fill="FFFFFF"/>
            <w:tcMar>
              <w:top w:w="27" w:type="dxa"/>
              <w:start w:w="28" w:type="dxa"/>
              <w:bottom w:w="27" w:type="dxa"/>
              <w:end w:w="28" w:type="dxa"/>
            </w:tcMar>
          </w:tcPr>
          <w:p>
            <w:pPr>
              <w:keepNext w:val="0"/>
              <w:spacing w:before="0" w:after="0" w:line="221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Most fungible, but remains subject to operating liquidity and local solvency tests.</w:t>
            </w:r>
          </w:p>
        </w:tc>
      </w:tr>
      <w:tr>
        <w:tc>
          <w:tcPr>
            <w:tcW w:type="dxa" w:w="2376"/>
            <w:shd w:fill="F2F2F2"/>
            <w:tcMar>
              <w:top w:w="27" w:type="dxa"/>
              <w:start w:w="28" w:type="dxa"/>
              <w:bottom w:w="27" w:type="dxa"/>
              <w:end w:w="28" w:type="dxa"/>
            </w:tcMar>
          </w:tcPr>
          <w:p>
            <w:pPr>
              <w:keepNext w:val="0"/>
              <w:spacing w:before="0" w:after="0" w:line="221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365D"/>
                <w:sz w:val="12"/>
              </w:rPr>
              <w:t>Short-term bank deposits</w:t>
            </w:r>
          </w:p>
        </w:tc>
        <w:tc>
          <w:tcPr>
            <w:tcW w:type="dxa" w:w="1080"/>
            <w:shd w:fill="F2F2F2"/>
            <w:tcMar>
              <w:top w:w="27" w:type="dxa"/>
              <w:start w:w="28" w:type="dxa"/>
              <w:bottom w:w="27" w:type="dxa"/>
              <w:end w:w="28" w:type="dxa"/>
            </w:tcMar>
          </w:tcPr>
          <w:p>
            <w:pPr>
              <w:keepNext w:val="0"/>
              <w:spacing w:before="0" w:after="0" w:line="221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90.0</w:t>
            </w:r>
          </w:p>
        </w:tc>
        <w:tc>
          <w:tcPr>
            <w:tcW w:type="dxa" w:w="1224"/>
            <w:shd w:fill="F2F2F2"/>
            <w:tcMar>
              <w:top w:w="27" w:type="dxa"/>
              <w:start w:w="28" w:type="dxa"/>
              <w:bottom w:w="27" w:type="dxa"/>
              <w:end w:w="28" w:type="dxa"/>
            </w:tcMar>
          </w:tcPr>
          <w:p>
            <w:pPr>
              <w:keepNext w:val="0"/>
              <w:spacing w:before="0" w:after="0" w:line="221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13.4%</w:t>
            </w:r>
          </w:p>
        </w:tc>
        <w:tc>
          <w:tcPr>
            <w:tcW w:type="dxa" w:w="5832"/>
            <w:shd w:fill="F2F2F2"/>
            <w:tcMar>
              <w:top w:w="27" w:type="dxa"/>
              <w:start w:w="28" w:type="dxa"/>
              <w:bottom w:w="27" w:type="dxa"/>
              <w:end w:w="28" w:type="dxa"/>
            </w:tcMar>
          </w:tcPr>
          <w:p>
            <w:pPr>
              <w:keepNext w:val="0"/>
              <w:spacing w:before="0" w:after="0" w:line="221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Near-cash; maturity timing is the principal practical constraint.</w:t>
            </w:r>
          </w:p>
        </w:tc>
      </w:tr>
      <w:tr>
        <w:tc>
          <w:tcPr>
            <w:tcW w:type="dxa" w:w="2376"/>
            <w:shd w:fill="FFFFFF"/>
            <w:tcMar>
              <w:top w:w="27" w:type="dxa"/>
              <w:start w:w="28" w:type="dxa"/>
              <w:bottom w:w="27" w:type="dxa"/>
              <w:end w:w="28" w:type="dxa"/>
            </w:tcMar>
          </w:tcPr>
          <w:p>
            <w:pPr>
              <w:keepNext w:val="0"/>
              <w:spacing w:before="0" w:after="0" w:line="221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365D"/>
                <w:sz w:val="12"/>
              </w:rPr>
              <w:t>Current marketable securities</w:t>
            </w:r>
          </w:p>
        </w:tc>
        <w:tc>
          <w:tcPr>
            <w:tcW w:type="dxa" w:w="1080"/>
            <w:shd w:fill="FFFFFF"/>
            <w:tcMar>
              <w:top w:w="27" w:type="dxa"/>
              <w:start w:w="28" w:type="dxa"/>
              <w:bottom w:w="27" w:type="dxa"/>
              <w:end w:w="28" w:type="dxa"/>
            </w:tcMar>
          </w:tcPr>
          <w:p>
            <w:pPr>
              <w:keepNext w:val="0"/>
              <w:spacing w:before="0" w:after="0" w:line="221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169.2</w:t>
            </w:r>
          </w:p>
        </w:tc>
        <w:tc>
          <w:tcPr>
            <w:tcW w:type="dxa" w:w="1224"/>
            <w:shd w:fill="FFFFFF"/>
            <w:tcMar>
              <w:top w:w="27" w:type="dxa"/>
              <w:start w:w="28" w:type="dxa"/>
              <w:bottom w:w="27" w:type="dxa"/>
              <w:end w:w="28" w:type="dxa"/>
            </w:tcMar>
          </w:tcPr>
          <w:p>
            <w:pPr>
              <w:keepNext w:val="0"/>
              <w:spacing w:before="0" w:after="0" w:line="221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25.1%</w:t>
            </w:r>
          </w:p>
        </w:tc>
        <w:tc>
          <w:tcPr>
            <w:tcW w:type="dxa" w:w="5832"/>
            <w:shd w:fill="FFFFFF"/>
            <w:tcMar>
              <w:top w:w="27" w:type="dxa"/>
              <w:start w:w="28" w:type="dxa"/>
              <w:bottom w:w="27" w:type="dxa"/>
              <w:end w:w="28" w:type="dxa"/>
            </w:tcMar>
          </w:tcPr>
          <w:p>
            <w:pPr>
              <w:keepNext w:val="0"/>
              <w:spacing w:before="0" w:after="0" w:line="221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Generally monetisable, subject to market value, settlement and tax effects.</w:t>
            </w:r>
          </w:p>
        </w:tc>
      </w:tr>
      <w:tr>
        <w:tc>
          <w:tcPr>
            <w:tcW w:type="dxa" w:w="2376"/>
            <w:shd w:fill="F2F2F2"/>
            <w:tcMar>
              <w:top w:w="27" w:type="dxa"/>
              <w:start w:w="28" w:type="dxa"/>
              <w:bottom w:w="27" w:type="dxa"/>
              <w:end w:w="28" w:type="dxa"/>
            </w:tcMar>
          </w:tcPr>
          <w:p>
            <w:pPr>
              <w:keepNext w:val="0"/>
              <w:spacing w:before="0" w:after="0" w:line="221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365D"/>
                <w:sz w:val="12"/>
              </w:rPr>
              <w:t>Long-term marketable securities</w:t>
            </w:r>
          </w:p>
        </w:tc>
        <w:tc>
          <w:tcPr>
            <w:tcW w:type="dxa" w:w="1080"/>
            <w:shd w:fill="F2F2F2"/>
            <w:tcMar>
              <w:top w:w="27" w:type="dxa"/>
              <w:start w:w="28" w:type="dxa"/>
              <w:bottom w:w="27" w:type="dxa"/>
              <w:end w:w="28" w:type="dxa"/>
            </w:tcMar>
          </w:tcPr>
          <w:p>
            <w:pPr>
              <w:keepNext w:val="0"/>
              <w:spacing w:before="0" w:after="0" w:line="221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6.5</w:t>
            </w:r>
          </w:p>
        </w:tc>
        <w:tc>
          <w:tcPr>
            <w:tcW w:type="dxa" w:w="1224"/>
            <w:shd w:fill="F2F2F2"/>
            <w:tcMar>
              <w:top w:w="27" w:type="dxa"/>
              <w:start w:w="28" w:type="dxa"/>
              <w:bottom w:w="27" w:type="dxa"/>
              <w:end w:w="28" w:type="dxa"/>
            </w:tcMar>
          </w:tcPr>
          <w:p>
            <w:pPr>
              <w:keepNext w:val="0"/>
              <w:spacing w:before="0" w:after="0" w:line="221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1.0%</w:t>
            </w:r>
          </w:p>
        </w:tc>
        <w:tc>
          <w:tcPr>
            <w:tcW w:type="dxa" w:w="5832"/>
            <w:shd w:fill="F2F2F2"/>
            <w:tcMar>
              <w:top w:w="27" w:type="dxa"/>
              <w:start w:w="28" w:type="dxa"/>
              <w:bottom w:w="27" w:type="dxa"/>
              <w:end w:w="28" w:type="dxa"/>
            </w:tcMar>
          </w:tcPr>
          <w:p>
            <w:pPr>
              <w:keepNext w:val="0"/>
              <w:spacing w:before="0" w:after="0" w:line="221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Smaller and less immediate; concentrated in Taro USA.</w:t>
            </w:r>
          </w:p>
        </w:tc>
      </w:tr>
      <w:tr>
        <w:tc>
          <w:tcPr>
            <w:tcW w:type="dxa" w:w="2376"/>
            <w:shd w:fill="D9E1F2"/>
            <w:tcMar>
              <w:top w:w="27" w:type="dxa"/>
              <w:start w:w="28" w:type="dxa"/>
              <w:bottom w:w="27" w:type="dxa"/>
              <w:end w:w="28" w:type="dxa"/>
            </w:tcMar>
          </w:tcPr>
          <w:p>
            <w:pPr>
              <w:keepNext w:val="0"/>
              <w:spacing w:before="0" w:after="0" w:line="221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365D"/>
                <w:sz w:val="12"/>
              </w:rPr>
              <w:t>Total</w:t>
            </w:r>
          </w:p>
        </w:tc>
        <w:tc>
          <w:tcPr>
            <w:tcW w:type="dxa" w:w="1080"/>
            <w:shd w:fill="D9E1F2"/>
            <w:tcMar>
              <w:top w:w="27" w:type="dxa"/>
              <w:start w:w="28" w:type="dxa"/>
              <w:bottom w:w="27" w:type="dxa"/>
              <w:end w:w="28" w:type="dxa"/>
            </w:tcMar>
          </w:tcPr>
          <w:p>
            <w:pPr>
              <w:keepNext w:val="0"/>
              <w:spacing w:before="0" w:after="0" w:line="221" w:lineRule="auto"/>
              <w:jc w:val="right"/>
            </w:pPr>
            <w:r>
              <w:rPr>
                <w:rFonts w:ascii="Arial" w:hAnsi="Arial" w:eastAsia="Arial"/>
                <w:b/>
                <w:i w:val="0"/>
                <w:sz w:val="12"/>
              </w:rPr>
              <w:t>673.3</w:t>
            </w:r>
          </w:p>
        </w:tc>
        <w:tc>
          <w:tcPr>
            <w:tcW w:type="dxa" w:w="1224"/>
            <w:shd w:fill="D9E1F2"/>
            <w:tcMar>
              <w:top w:w="27" w:type="dxa"/>
              <w:start w:w="28" w:type="dxa"/>
              <w:bottom w:w="27" w:type="dxa"/>
              <w:end w:w="28" w:type="dxa"/>
            </w:tcMar>
          </w:tcPr>
          <w:p>
            <w:pPr>
              <w:keepNext w:val="0"/>
              <w:spacing w:before="0" w:after="0" w:line="221" w:lineRule="auto"/>
              <w:jc w:val="right"/>
            </w:pPr>
            <w:r>
              <w:rPr>
                <w:rFonts w:ascii="Arial" w:hAnsi="Arial" w:eastAsia="Arial"/>
                <w:b/>
                <w:i w:val="0"/>
                <w:sz w:val="12"/>
              </w:rPr>
              <w:t>100.0%</w:t>
            </w:r>
          </w:p>
        </w:tc>
        <w:tc>
          <w:tcPr>
            <w:tcW w:type="dxa" w:w="5832"/>
            <w:shd w:fill="D9E1F2"/>
            <w:tcMar>
              <w:top w:w="27" w:type="dxa"/>
              <w:start w:w="28" w:type="dxa"/>
              <w:bottom w:w="27" w:type="dxa"/>
              <w:end w:w="28" w:type="dxa"/>
            </w:tcMar>
          </w:tcPr>
          <w:p>
            <w:pPr>
              <w:keepNext w:val="0"/>
              <w:spacing w:before="0" w:after="0" w:line="221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2"/>
              </w:rPr>
              <w:t>Headline pool before operating reserves, tax leakage and consolidation eliminations.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49"/>
        <w:gridCol w:w="5349"/>
      </w:tblGrid>
      <w:tr>
        <w:tc>
          <w:tcPr>
            <w:tcW w:type="dxa" w:w="5284"/>
            <w:shd w:fill="EDF4FA"/>
            <w:tcMar>
              <w:top w:w="45" w:type="dxa"/>
              <w:start w:w="50" w:type="dxa"/>
              <w:bottom w:w="45" w:type="dxa"/>
              <w:end w:w="50" w:type="dxa"/>
            </w:tcMar>
            <w:tcBorders>
              <w:top w:val="single" w:sz="6" w:color="D9EAF7"/>
              <w:left w:val="single" w:sz="6" w:color="D9EAF7"/>
              <w:bottom w:val="single" w:sz="6" w:color="D9EAF7"/>
              <w:right w:val="single" w:sz="6" w:color="D9EAF7"/>
            </w:tcBorders>
            <w:vAlign w:val="center"/>
          </w:tcPr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17365D"/>
                <w:sz w:val="14"/>
              </w:rPr>
              <w:t>Why the question existed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Before the June 2024 take-private, Taro had public minorities and an independent-board/fiduciary framework. Sun could not simply upstream cash for its sole benefit without minority-protection scrutiny. Full ownership largely removes that governance conflict.</w:t>
            </w:r>
          </w:p>
        </w:tc>
        <w:tc>
          <w:tcPr>
            <w:tcW w:type="dxa" w:w="5284"/>
            <w:shd w:fill="D9EAF7"/>
            <w:tcMar>
              <w:top w:w="45" w:type="dxa"/>
              <w:start w:w="50" w:type="dxa"/>
              <w:bottom w:w="45" w:type="dxa"/>
              <w:end w:w="50" w:type="dxa"/>
            </w:tcMar>
            <w:tcBorders>
              <w:top w:val="single" w:sz="6" w:color="D9EAF7"/>
              <w:left w:val="single" w:sz="6" w:color="D9EAF7"/>
              <w:bottom w:val="single" w:sz="6" w:color="D9EAF7"/>
              <w:right w:val="single" w:sz="6" w:color="D9EAF7"/>
            </w:tcBorders>
            <w:vAlign w:val="center"/>
          </w:tcPr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17365D"/>
                <w:sz w:val="14"/>
              </w:rPr>
              <w:t>What remains today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There is no disclosed blanket cash-trapping clause. The merger documents name Sun Pharma Canada and Sun Pharma Netherlands as primary payment guarantors, while the Indian parent is required to provide US$1.0bn. Remaining frictions are solvency, withholding tax, transfer pricing and foreign-investment rules.</w:t>
            </w:r>
          </w:p>
        </w:tc>
      </w:tr>
    </w:tbl>
    <w:p>
      <w:pPr>
        <w:keepNext w:val="0"/>
        <w:spacing w:before="20" w:after="0" w:line="228" w:lineRule="auto"/>
      </w:pPr>
      <w:r>
        <w:rPr>
          <w:rFonts w:ascii="Arial" w:hAnsi="Arial" w:eastAsia="Arial"/>
          <w:b w:val="0"/>
          <w:i/>
          <w:color w:val="4A4A4A"/>
          <w:sz w:val="12"/>
        </w:rPr>
        <w:t>Analyst interpretation. The 2024 privatisation removes the former minority-shareholder conflict; it does not eliminate ordinary legal-entity and tax constraints.</w:t>
      </w:r>
    </w:p>
    <w:p>
      <w:r>
        <w:br w:type="page"/>
      </w:r>
    </w:p>
    <w:p>
      <w:pPr>
        <w:keepNext w:val="0"/>
        <w:spacing w:before="0" w:after="20" w:line="240" w:lineRule="auto"/>
      </w:pPr>
      <w:r>
        <w:rPr>
          <w:rFonts w:ascii="Arial" w:hAnsi="Arial" w:eastAsia="Arial"/>
          <w:b/>
          <w:i w:val="0"/>
          <w:color w:val="2F75B5"/>
          <w:sz w:val="18"/>
        </w:rPr>
        <w:t>THE MECHANISM AND THE INVESTMENT DEBATE</w:t>
      </w:r>
    </w:p>
    <w:p>
      <w:pPr>
        <w:keepNext w:val="0"/>
        <w:spacing w:before="0" w:after="80" w:line="240" w:lineRule="auto"/>
      </w:pPr>
      <w:r>
        <w:rPr>
          <w:rFonts w:ascii="Arial" w:hAnsi="Arial" w:eastAsia="Arial"/>
          <w:b/>
          <w:i w:val="0"/>
          <w:color w:val="17365D"/>
          <w:sz w:val="26"/>
        </w:rPr>
        <w:t>The cash can move - but the accounts show an operating treasury architecture, not a one-off sweep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49"/>
        <w:gridCol w:w="5349"/>
      </w:tblGrid>
      <w:tr>
        <w:tc>
          <w:tcPr>
            <w:tcW w:type="dxa" w:w="5644"/>
            <w:tcMar>
              <w:top w:w="20" w:type="dxa"/>
              <w:start w:w="25" w:type="dxa"/>
              <w:bottom w:w="20" w:type="dxa"/>
              <w:end w:w="25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  <w:p>
            <w:pPr>
              <w:keepNext/>
              <w:spacing w:before="40" w:after="60" w:line="240" w:lineRule="auto"/>
              <w:pBdr>
                <w:bottom w:val="single" w:sz="8" w:space="2" w:color="2F75B5"/>
              </w:pBdr>
            </w:pPr>
            <w:r>
              <w:rPr>
                <w:rFonts w:ascii="Arial" w:hAnsi="Arial" w:eastAsia="Arial"/>
                <w:b/>
                <w:i w:val="0"/>
                <w:color w:val="17365D"/>
                <w:sz w:val="20"/>
              </w:rPr>
              <w:t>How funds can be deployed</w:t>
            </w:r>
          </w:p>
          <w:p>
            <w:pPr>
              <w:spacing w:after="30" w:line="240" w:lineRule="auto"/>
              <w:ind w:left="173" w:hanging="144"/>
            </w:pPr>
            <w:r>
              <w:rPr>
                <w:rFonts w:ascii="Arial" w:hAnsi="Arial" w:eastAsia="Arial"/>
                <w:b/>
                <w:i w:val="0"/>
                <w:color w:val="2F75B5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sz w:val="16"/>
              </w:rPr>
              <w:t>Direct foreign funding/guarantee: Sun Pharma Canada is a named primary obligor in the merger agreement, allowing foreign liquidity to support the US acquisition without first being repatriated to India.</w:t>
            </w:r>
          </w:p>
          <w:p>
            <w:pPr>
              <w:spacing w:after="30" w:line="240" w:lineRule="auto"/>
              <w:ind w:left="173" w:hanging="144"/>
            </w:pPr>
            <w:r>
              <w:rPr>
                <w:rFonts w:ascii="Arial" w:hAnsi="Arial" w:eastAsia="Arial"/>
                <w:b/>
                <w:i w:val="0"/>
                <w:color w:val="2F75B5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sz w:val="16"/>
              </w:rPr>
              <w:t>Dividend upstream: legally possible after board approval and solvency tests, but a Canada-to-Israel dividend may attract 5% withholding under the treaty where the 25% ownership test and beneficial-ownership conditions are met.</w:t>
            </w:r>
          </w:p>
          <w:p>
            <w:pPr>
              <w:spacing w:after="30" w:line="240" w:lineRule="auto"/>
              <w:ind w:left="173" w:hanging="144"/>
            </w:pPr>
            <w:r>
              <w:rPr>
                <w:rFonts w:ascii="Arial" w:hAnsi="Arial" w:eastAsia="Arial"/>
                <w:b/>
                <w:i w:val="0"/>
                <w:color w:val="2F75B5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sz w:val="16"/>
              </w:rPr>
              <w:t>Intercompany loan or capital contribution: feasible subject to local corporate, tax, transfer-pricing and financing rules. This route can avoid treating the full movement as a dividend.</w:t>
            </w:r>
          </w:p>
          <w:p>
            <w:pPr>
              <w:spacing w:after="30" w:line="240" w:lineRule="auto"/>
              <w:ind w:left="173" w:hanging="144"/>
            </w:pPr>
            <w:r>
              <w:rPr>
                <w:rFonts w:ascii="Arial" w:hAnsi="Arial" w:eastAsia="Arial"/>
                <w:b/>
                <w:i w:val="0"/>
                <w:color w:val="2F75B5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sz w:val="16"/>
              </w:rPr>
              <w:t>Working-capital financing: already occurring. Sun Canada purchased US$1.197bn of Sun Inc. receivables in FY26; US$489m remained outstanding at year-end.</w:t>
            </w:r>
          </w:p>
          <w:p>
            <w:pPr>
              <w:spacing w:after="30" w:line="240" w:lineRule="auto"/>
              <w:ind w:left="173" w:hanging="144"/>
            </w:pPr>
            <w:r>
              <w:rPr>
                <w:rFonts w:ascii="Arial" w:hAnsi="Arial" w:eastAsia="Arial"/>
                <w:b/>
                <w:i w:val="0"/>
                <w:color w:val="2F75B5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sz w:val="16"/>
              </w:rPr>
              <w:t>Cash sweep is not costless: Canada still carries US$378m sales, US$178m trade AR, US$115m inventory and US$109m current liabilities, so part of the pool is operating capital.</w:t>
            </w:r>
          </w:p>
        </w:tc>
        <w:tc>
          <w:tcPr>
            <w:tcW w:type="dxa" w:w="4939"/>
            <w:tcMar>
              <w:top w:w="20" w:type="dxa"/>
              <w:start w:w="25" w:type="dxa"/>
              <w:bottom w:w="20" w:type="dxa"/>
              <w:end w:w="25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17520" cy="144683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ro_cash_debt_brid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4468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/>
                <w:color w:val="4A4A4A"/>
                <w:sz w:val="12"/>
              </w:rPr>
              <w:t>Illustrative, not company guidance. The 5% tax friction applies only to a dividend route; direct financing may differ.</w:t>
            </w:r>
          </w:p>
        </w:tc>
      </w:tr>
    </w:tbl>
    <w:p>
      <w:pPr>
        <w:keepNext/>
        <w:spacing w:before="40" w:after="60" w:line="240" w:lineRule="auto"/>
        <w:pBdr>
          <w:bottom w:val="single" w:sz="8" w:space="2" w:color="2F75B5"/>
        </w:pBdr>
      </w:pPr>
      <w:r>
        <w:rPr>
          <w:rFonts w:ascii="Arial" w:hAnsi="Arial" w:eastAsia="Arial"/>
          <w:b/>
          <w:i w:val="0"/>
          <w:color w:val="17365D"/>
          <w:sz w:val="20"/>
        </w:rPr>
        <w:t>AR/AP and export-revenue lens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75"/>
        <w:gridCol w:w="2675"/>
        <w:gridCol w:w="2675"/>
        <w:gridCol w:w="2675"/>
      </w:tblGrid>
      <w:tr>
        <w:tc>
          <w:tcPr>
            <w:tcW w:type="dxa" w:w="2951"/>
            <w:shd w:fill="17365D"/>
            <w:tcMar>
              <w:top w:w="42" w:type="dxa"/>
              <w:start w:w="35" w:type="dxa"/>
              <w:bottom w:w="42" w:type="dxa"/>
              <w:end w:w="35" w:type="dxa"/>
            </w:tcMar>
          </w:tcPr>
          <w:p>
            <w:pPr>
              <w:keepNext w:val="0"/>
              <w:spacing w:before="0" w:after="0" w:line="221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Metric</w:t>
            </w:r>
          </w:p>
        </w:tc>
        <w:tc>
          <w:tcPr>
            <w:tcW w:type="dxa" w:w="1152"/>
            <w:shd w:fill="17365D"/>
            <w:tcMar>
              <w:top w:w="42" w:type="dxa"/>
              <w:start w:w="35" w:type="dxa"/>
              <w:bottom w:w="42" w:type="dxa"/>
              <w:end w:w="35" w:type="dxa"/>
            </w:tcMar>
          </w:tcPr>
          <w:p>
            <w:pPr>
              <w:keepNext w:val="0"/>
              <w:spacing w:before="0" w:after="0" w:line="221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US$m</w:t>
            </w:r>
          </w:p>
        </w:tc>
        <w:tc>
          <w:tcPr>
            <w:tcW w:type="dxa" w:w="2232"/>
            <w:shd w:fill="17365D"/>
            <w:tcMar>
              <w:top w:w="42" w:type="dxa"/>
              <w:start w:w="35" w:type="dxa"/>
              <w:bottom w:w="42" w:type="dxa"/>
              <w:end w:w="35" w:type="dxa"/>
            </w:tcMar>
          </w:tcPr>
          <w:p>
            <w:pPr>
              <w:keepNext w:val="0"/>
              <w:spacing w:before="0" w:after="0" w:line="221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% of Sun FY26 ex-India</w:t>
              <w:br/>
              <w:t>formulation sales</w:t>
            </w:r>
          </w:p>
        </w:tc>
        <w:tc>
          <w:tcPr>
            <w:tcW w:type="dxa" w:w="4392"/>
            <w:shd w:fill="17365D"/>
            <w:tcMar>
              <w:top w:w="42" w:type="dxa"/>
              <w:start w:w="35" w:type="dxa"/>
              <w:bottom w:w="42" w:type="dxa"/>
              <w:end w:w="35" w:type="dxa"/>
            </w:tcMar>
          </w:tcPr>
          <w:p>
            <w:pPr>
              <w:keepNext w:val="0"/>
              <w:spacing w:before="0" w:after="0" w:line="221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What it means</w:t>
            </w:r>
          </w:p>
        </w:tc>
      </w:tr>
      <w:tr>
        <w:tc>
          <w:tcPr>
            <w:tcW w:type="dxa" w:w="2951"/>
            <w:shd w:fill="FFFFFF"/>
            <w:tcMar>
              <w:top w:w="32" w:type="dxa"/>
              <w:start w:w="30" w:type="dxa"/>
              <w:bottom w:w="32" w:type="dxa"/>
              <w:end w:w="30" w:type="dxa"/>
            </w:tcMar>
          </w:tcPr>
          <w:p>
            <w:pPr>
              <w:keepNext w:val="0"/>
              <w:spacing w:before="0" w:after="0" w:line="221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2"/>
              </w:rPr>
              <w:t>Sun Pharma Canada sales</w:t>
            </w:r>
          </w:p>
        </w:tc>
        <w:tc>
          <w:tcPr>
            <w:tcW w:type="dxa" w:w="1152"/>
            <w:shd w:fill="FFFFFF"/>
            <w:tcMar>
              <w:top w:w="32" w:type="dxa"/>
              <w:start w:w="30" w:type="dxa"/>
              <w:bottom w:w="32" w:type="dxa"/>
              <w:end w:w="30" w:type="dxa"/>
            </w:tcMar>
          </w:tcPr>
          <w:p>
            <w:pPr>
              <w:keepNext w:val="0"/>
              <w:spacing w:before="0" w:after="0" w:line="221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377.7</w:t>
            </w:r>
          </w:p>
        </w:tc>
        <w:tc>
          <w:tcPr>
            <w:tcW w:type="dxa" w:w="2232"/>
            <w:shd w:fill="FFFFFF"/>
            <w:tcMar>
              <w:top w:w="32" w:type="dxa"/>
              <w:start w:w="30" w:type="dxa"/>
              <w:bottom w:w="32" w:type="dxa"/>
              <w:end w:w="30" w:type="dxa"/>
            </w:tcMar>
          </w:tcPr>
          <w:p>
            <w:pPr>
              <w:keepNext w:val="0"/>
              <w:spacing w:before="0" w:after="0" w:line="221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9.1%</w:t>
            </w:r>
          </w:p>
        </w:tc>
        <w:tc>
          <w:tcPr>
            <w:tcW w:type="dxa" w:w="4392"/>
            <w:shd w:fill="FFFFFF"/>
            <w:tcMar>
              <w:top w:w="32" w:type="dxa"/>
              <w:start w:w="30" w:type="dxa"/>
              <w:bottom w:w="32" w:type="dxa"/>
              <w:end w:w="30" w:type="dxa"/>
            </w:tcMar>
          </w:tcPr>
          <w:p>
            <w:pPr>
              <w:keepNext w:val="0"/>
              <w:spacing w:before="0" w:after="0" w:line="221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Cleanest lower-bound proxy for the Taro franchise: ~9% of ex-India formulation revenue.</w:t>
            </w:r>
          </w:p>
        </w:tc>
      </w:tr>
      <w:tr>
        <w:tc>
          <w:tcPr>
            <w:tcW w:type="dxa" w:w="2951"/>
            <w:shd w:fill="F2F2F2"/>
            <w:tcMar>
              <w:top w:w="32" w:type="dxa"/>
              <w:start w:w="30" w:type="dxa"/>
              <w:bottom w:w="32" w:type="dxa"/>
              <w:end w:w="30" w:type="dxa"/>
            </w:tcMar>
          </w:tcPr>
          <w:p>
            <w:pPr>
              <w:keepNext w:val="0"/>
              <w:spacing w:before="0" w:after="0" w:line="221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2"/>
              </w:rPr>
              <w:t>Taro Israel connected-party supply</w:t>
            </w:r>
          </w:p>
        </w:tc>
        <w:tc>
          <w:tcPr>
            <w:tcW w:type="dxa" w:w="1152"/>
            <w:shd w:fill="F2F2F2"/>
            <w:tcMar>
              <w:top w:w="32" w:type="dxa"/>
              <w:start w:w="30" w:type="dxa"/>
              <w:bottom w:w="32" w:type="dxa"/>
              <w:end w:w="30" w:type="dxa"/>
            </w:tcMar>
          </w:tcPr>
          <w:p>
            <w:pPr>
              <w:keepNext w:val="0"/>
              <w:spacing w:before="0" w:after="0" w:line="221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138.3</w:t>
            </w:r>
          </w:p>
        </w:tc>
        <w:tc>
          <w:tcPr>
            <w:tcW w:type="dxa" w:w="2232"/>
            <w:shd w:fill="F2F2F2"/>
            <w:tcMar>
              <w:top w:w="32" w:type="dxa"/>
              <w:start w:w="30" w:type="dxa"/>
              <w:bottom w:w="32" w:type="dxa"/>
              <w:end w:w="30" w:type="dxa"/>
            </w:tcMar>
          </w:tcPr>
          <w:p>
            <w:pPr>
              <w:keepNext w:val="0"/>
              <w:spacing w:before="0" w:after="0" w:line="221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3.3%</w:t>
            </w:r>
          </w:p>
        </w:tc>
        <w:tc>
          <w:tcPr>
            <w:tcW w:type="dxa" w:w="4392"/>
            <w:shd w:fill="F2F2F2"/>
            <w:tcMar>
              <w:top w:w="32" w:type="dxa"/>
              <w:start w:w="30" w:type="dxa"/>
              <w:bottom w:w="32" w:type="dxa"/>
              <w:end w:w="30" w:type="dxa"/>
            </w:tcMar>
          </w:tcPr>
          <w:p>
            <w:pPr>
              <w:keepNext w:val="0"/>
              <w:spacing w:before="0" w:after="0" w:line="221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Shows manufacturing/export flow into Sun, Canada and legacy Taro USA; not additive to Canada sales.</w:t>
            </w:r>
          </w:p>
        </w:tc>
      </w:tr>
      <w:tr>
        <w:tc>
          <w:tcPr>
            <w:tcW w:type="dxa" w:w="2951"/>
            <w:shd w:fill="FFFFFF"/>
            <w:tcMar>
              <w:top w:w="32" w:type="dxa"/>
              <w:start w:w="30" w:type="dxa"/>
              <w:bottom w:w="32" w:type="dxa"/>
              <w:end w:w="30" w:type="dxa"/>
            </w:tcMar>
          </w:tcPr>
          <w:p>
            <w:pPr>
              <w:keepNext w:val="0"/>
              <w:spacing w:before="0" w:after="0" w:line="221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2"/>
              </w:rPr>
              <w:t>Gross trade receivables**</w:t>
            </w:r>
          </w:p>
        </w:tc>
        <w:tc>
          <w:tcPr>
            <w:tcW w:type="dxa" w:w="1152"/>
            <w:shd w:fill="FFFFFF"/>
            <w:tcMar>
              <w:top w:w="32" w:type="dxa"/>
              <w:start w:w="30" w:type="dxa"/>
              <w:bottom w:w="32" w:type="dxa"/>
              <w:end w:w="30" w:type="dxa"/>
            </w:tcMar>
          </w:tcPr>
          <w:p>
            <w:pPr>
              <w:keepNext w:val="0"/>
              <w:spacing w:before="0" w:after="0" w:line="221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247.3</w:t>
            </w:r>
          </w:p>
        </w:tc>
        <w:tc>
          <w:tcPr>
            <w:tcW w:type="dxa" w:w="2232"/>
            <w:shd w:fill="FFFFFF"/>
            <w:tcMar>
              <w:top w:w="32" w:type="dxa"/>
              <w:start w:w="30" w:type="dxa"/>
              <w:bottom w:w="32" w:type="dxa"/>
              <w:end w:w="30" w:type="dxa"/>
            </w:tcMar>
          </w:tcPr>
          <w:p>
            <w:pPr>
              <w:keepNext w:val="0"/>
              <w:spacing w:before="0" w:after="0" w:line="221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6.0%</w:t>
            </w:r>
          </w:p>
        </w:tc>
        <w:tc>
          <w:tcPr>
            <w:tcW w:type="dxa" w:w="4392"/>
            <w:shd w:fill="FFFFFF"/>
            <w:tcMar>
              <w:top w:w="32" w:type="dxa"/>
              <w:start w:w="30" w:type="dxa"/>
              <w:bottom w:w="32" w:type="dxa"/>
              <w:end w:w="30" w:type="dxa"/>
            </w:tcMar>
          </w:tcPr>
          <w:p>
            <w:pPr>
              <w:keepNext w:val="0"/>
              <w:spacing w:before="0" w:after="0" w:line="221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Only ~22 days of ex-India sales; does not support a large operating-cash lock-up.</w:t>
            </w:r>
          </w:p>
        </w:tc>
      </w:tr>
      <w:tr>
        <w:tc>
          <w:tcPr>
            <w:tcW w:type="dxa" w:w="2951"/>
            <w:shd w:fill="F2F2F2"/>
            <w:tcMar>
              <w:top w:w="32" w:type="dxa"/>
              <w:start w:w="30" w:type="dxa"/>
              <w:bottom w:w="32" w:type="dxa"/>
              <w:end w:w="30" w:type="dxa"/>
            </w:tcMar>
          </w:tcPr>
          <w:p>
            <w:pPr>
              <w:keepNext w:val="0"/>
              <w:spacing w:before="0" w:after="0" w:line="221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2"/>
              </w:rPr>
              <w:t>Gross inventory</w:t>
            </w:r>
          </w:p>
        </w:tc>
        <w:tc>
          <w:tcPr>
            <w:tcW w:type="dxa" w:w="1152"/>
            <w:shd w:fill="F2F2F2"/>
            <w:tcMar>
              <w:top w:w="32" w:type="dxa"/>
              <w:start w:w="30" w:type="dxa"/>
              <w:bottom w:w="32" w:type="dxa"/>
              <w:end w:w="30" w:type="dxa"/>
            </w:tcMar>
          </w:tcPr>
          <w:p>
            <w:pPr>
              <w:keepNext w:val="0"/>
              <w:spacing w:before="0" w:after="0" w:line="221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188.2</w:t>
            </w:r>
          </w:p>
        </w:tc>
        <w:tc>
          <w:tcPr>
            <w:tcW w:type="dxa" w:w="2232"/>
            <w:shd w:fill="F2F2F2"/>
            <w:tcMar>
              <w:top w:w="32" w:type="dxa"/>
              <w:start w:w="30" w:type="dxa"/>
              <w:bottom w:w="32" w:type="dxa"/>
              <w:end w:w="30" w:type="dxa"/>
            </w:tcMar>
          </w:tcPr>
          <w:p>
            <w:pPr>
              <w:keepNext w:val="0"/>
              <w:spacing w:before="0" w:after="0" w:line="221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4.5%</w:t>
            </w:r>
          </w:p>
        </w:tc>
        <w:tc>
          <w:tcPr>
            <w:tcW w:type="dxa" w:w="4392"/>
            <w:shd w:fill="F2F2F2"/>
            <w:tcMar>
              <w:top w:w="32" w:type="dxa"/>
              <w:start w:w="30" w:type="dxa"/>
              <w:bottom w:w="32" w:type="dxa"/>
              <w:end w:w="30" w:type="dxa"/>
            </w:tcMar>
          </w:tcPr>
          <w:p>
            <w:pPr>
              <w:keepNext w:val="0"/>
              <w:spacing w:before="0" w:after="0" w:line="221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Equivalent to ~17 days of ex-India sales; concentrated in Canada and Israel.</w:t>
            </w:r>
          </w:p>
        </w:tc>
      </w:tr>
      <w:tr>
        <w:tc>
          <w:tcPr>
            <w:tcW w:type="dxa" w:w="2951"/>
            <w:shd w:fill="FFFFFF"/>
            <w:tcMar>
              <w:top w:w="32" w:type="dxa"/>
              <w:start w:w="30" w:type="dxa"/>
              <w:bottom w:w="32" w:type="dxa"/>
              <w:end w:w="30" w:type="dxa"/>
            </w:tcMar>
          </w:tcPr>
          <w:p>
            <w:pPr>
              <w:keepNext w:val="0"/>
              <w:spacing w:before="0" w:after="0" w:line="221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2"/>
              </w:rPr>
              <w:t>Gross trade payables</w:t>
            </w:r>
          </w:p>
        </w:tc>
        <w:tc>
          <w:tcPr>
            <w:tcW w:type="dxa" w:w="1152"/>
            <w:shd w:fill="FFFFFF"/>
            <w:tcMar>
              <w:top w:w="32" w:type="dxa"/>
              <w:start w:w="30" w:type="dxa"/>
              <w:bottom w:w="32" w:type="dxa"/>
              <w:end w:w="30" w:type="dxa"/>
            </w:tcMar>
          </w:tcPr>
          <w:p>
            <w:pPr>
              <w:keepNext w:val="0"/>
              <w:spacing w:before="0" w:after="0" w:line="221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59.0</w:t>
            </w:r>
          </w:p>
        </w:tc>
        <w:tc>
          <w:tcPr>
            <w:tcW w:type="dxa" w:w="2232"/>
            <w:shd w:fill="FFFFFF"/>
            <w:tcMar>
              <w:top w:w="32" w:type="dxa"/>
              <w:start w:w="30" w:type="dxa"/>
              <w:bottom w:w="32" w:type="dxa"/>
              <w:end w:w="30" w:type="dxa"/>
            </w:tcMar>
          </w:tcPr>
          <w:p>
            <w:pPr>
              <w:keepNext w:val="0"/>
              <w:spacing w:before="0" w:after="0" w:line="221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1.4%</w:t>
            </w:r>
          </w:p>
        </w:tc>
        <w:tc>
          <w:tcPr>
            <w:tcW w:type="dxa" w:w="4392"/>
            <w:shd w:fill="FFFFFF"/>
            <w:tcMar>
              <w:top w:w="32" w:type="dxa"/>
              <w:start w:w="30" w:type="dxa"/>
              <w:bottom w:w="32" w:type="dxa"/>
              <w:end w:w="30" w:type="dxa"/>
            </w:tcMar>
          </w:tcPr>
          <w:p>
            <w:pPr>
              <w:keepNext w:val="0"/>
              <w:spacing w:before="0" w:after="0" w:line="221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Small relative to revenue; net trade working capital remains asset-heavy.</w:t>
            </w:r>
          </w:p>
        </w:tc>
      </w:tr>
      <w:tr>
        <w:tc>
          <w:tcPr>
            <w:tcW w:type="dxa" w:w="2951"/>
            <w:shd w:fill="F2F2F2"/>
            <w:tcMar>
              <w:top w:w="32" w:type="dxa"/>
              <w:start w:w="30" w:type="dxa"/>
              <w:bottom w:w="32" w:type="dxa"/>
              <w:end w:w="30" w:type="dxa"/>
            </w:tcMar>
          </w:tcPr>
          <w:p>
            <w:pPr>
              <w:keepNext w:val="0"/>
              <w:spacing w:before="0" w:after="0" w:line="221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2"/>
              </w:rPr>
              <w:t>Net trade working capital</w:t>
            </w:r>
          </w:p>
        </w:tc>
        <w:tc>
          <w:tcPr>
            <w:tcW w:type="dxa" w:w="1152"/>
            <w:shd w:fill="F2F2F2"/>
            <w:tcMar>
              <w:top w:w="32" w:type="dxa"/>
              <w:start w:w="30" w:type="dxa"/>
              <w:bottom w:w="32" w:type="dxa"/>
              <w:end w:w="30" w:type="dxa"/>
            </w:tcMar>
          </w:tcPr>
          <w:p>
            <w:pPr>
              <w:keepNext w:val="0"/>
              <w:spacing w:before="0" w:after="0" w:line="221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376.5</w:t>
            </w:r>
          </w:p>
        </w:tc>
        <w:tc>
          <w:tcPr>
            <w:tcW w:type="dxa" w:w="2232"/>
            <w:shd w:fill="F2F2F2"/>
            <w:tcMar>
              <w:top w:w="32" w:type="dxa"/>
              <w:start w:w="30" w:type="dxa"/>
              <w:bottom w:w="32" w:type="dxa"/>
              <w:end w:w="30" w:type="dxa"/>
            </w:tcMar>
          </w:tcPr>
          <w:p>
            <w:pPr>
              <w:keepNext w:val="0"/>
              <w:spacing w:before="0" w:after="0" w:line="221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9.1%</w:t>
            </w:r>
          </w:p>
        </w:tc>
        <w:tc>
          <w:tcPr>
            <w:tcW w:type="dxa" w:w="4392"/>
            <w:shd w:fill="F2F2F2"/>
            <w:tcMar>
              <w:top w:w="32" w:type="dxa"/>
              <w:start w:w="30" w:type="dxa"/>
              <w:bottom w:w="32" w:type="dxa"/>
              <w:end w:w="30" w:type="dxa"/>
            </w:tcMar>
          </w:tcPr>
          <w:p>
            <w:pPr>
              <w:keepNext w:val="0"/>
              <w:spacing w:before="0" w:after="0" w:line="221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US$376m, or ~9% of ex-India sales, before intercompany eliminations.</w:t>
            </w:r>
          </w:p>
        </w:tc>
      </w:tr>
    </w:tbl>
    <w:p>
      <w:pPr>
        <w:keepNext w:val="0"/>
        <w:spacing w:before="20" w:after="0" w:line="228" w:lineRule="auto"/>
      </w:pPr>
      <w:r>
        <w:rPr>
          <w:rFonts w:ascii="Arial" w:hAnsi="Arial" w:eastAsia="Arial"/>
          <w:b w:val="0"/>
          <w:i/>
          <w:color w:val="4A4A4A"/>
          <w:sz w:val="12"/>
        </w:rPr>
        <w:t>**Excludes Taro USA's US$6.6m credit balance in trade receivables. Sun FY26 ex-India formulation sales = US$4.138bn (US US$1.904bn, Emerging Markets US$1.265bn, Rest of World US$0.969bn). Legal-entity sales and working-capital items are not fully additive due to intercompany trade.</w:t>
      </w:r>
    </w:p>
    <w:p>
      <w:pPr>
        <w:keepNext/>
        <w:spacing w:before="40" w:after="60" w:line="240" w:lineRule="auto"/>
        <w:pBdr>
          <w:bottom w:val="single" w:sz="8" w:space="2" w:color="2F75B5"/>
        </w:pBdr>
      </w:pPr>
      <w:r>
        <w:rPr>
          <w:rFonts w:ascii="Arial" w:hAnsi="Arial" w:eastAsia="Arial"/>
          <w:b/>
          <w:i w:val="0"/>
          <w:color w:val="17365D"/>
          <w:sz w:val="20"/>
        </w:rPr>
        <w:t>Why the Organon rationale extends beyond access to Taro liquidity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49"/>
        <w:gridCol w:w="5349"/>
      </w:tblGrid>
      <w:tr>
        <w:tc>
          <w:tcPr>
            <w:tcW w:type="dxa" w:w="5284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8" w:color="D9EAF7"/>
              <w:left w:val="single" w:sz="8" w:color="D9EAF7"/>
              <w:bottom w:val="single" w:sz="8" w:color="D9EAF7"/>
              <w:right w:val="single" w:sz="8" w:color="D9EAF7"/>
            </w:tcBorders>
          </w:tcPr>
          <w:p/>
          <w:p>
            <w:pPr>
              <w:keepNext w:val="0"/>
              <w:spacing w:before="0" w:after="60" w:line="247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1. The size test rejects a cash-driven explanation. The ~US$540m deployable case is 4.6% of Organon EV and 22-27% of Sun's planned US$2.0-2.5bn cash contribution. It improves funding efficiency, but it cannot justify a US$11.75bn transaction.</w:t>
            </w:r>
          </w:p>
          <w:p>
            <w:pPr>
              <w:keepNext w:val="0"/>
              <w:spacing w:before="0" w:after="0" w:line="247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2. The operating reorganisation predates the deal. Taro USA's sales fell from US$326m to US$62m and inventory went to near-zero as the limited-risk distribution business moved into Sun US. This is a commercial integration and working-capital simplification, not merely a balance-sheet extraction.</w:t>
            </w:r>
          </w:p>
        </w:tc>
        <w:tc>
          <w:tcPr>
            <w:tcW w:type="dxa" w:w="5284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8" w:color="D9EAF7"/>
              <w:left w:val="single" w:sz="8" w:color="D9EAF7"/>
              <w:bottom w:val="single" w:sz="8" w:color="D9EAF7"/>
              <w:right w:val="single" w:sz="8" w:color="D9EAF7"/>
            </w:tcBorders>
          </w:tcPr>
          <w:p/>
          <w:p>
            <w:pPr>
              <w:keepNext w:val="0"/>
              <w:spacing w:before="0" w:after="60" w:line="247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3. The strategic assets are identifiable: Organon adds women's health, a global established-brand platform, biosimilars, China scale and 150-market reach. Management expects innovative medicines to rise from 20% to 27% of combined sales and targets US$350m of cost synergies.</w:t>
            </w:r>
          </w:p>
          <w:p>
            <w:pPr>
              <w:keepNext w:val="0"/>
              <w:spacing w:before="0" w:after="0" w:line="247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4. The real investor question is return on capital, not cash provenance. Sun expects 2.3x net debt/EBITDA at closing and US$2.0-2.5bn annual combined free cash flow. Execution should be judged on deleveraging, preservation of R&amp;D investment and growth of women's health/biosimilars.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99"/>
      </w:tblGrid>
      <w:tr>
        <w:tc>
          <w:tcPr>
            <w:tcW w:type="dxa" w:w="10699"/>
            <w:shd w:fill="17365D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 xml:space="preserve">INVESTOR TAKEAWAY: </w:t>
            </w:r>
            <w:r>
              <w:rPr>
                <w:rFonts w:ascii="Arial" w:hAnsi="Arial" w:eastAsia="Arial"/>
                <w:b w:val="0"/>
                <w:i w:val="0"/>
                <w:color w:val="FFFFFF"/>
                <w:sz w:val="16"/>
              </w:rPr>
              <w:t>Taro liquidity is available and embedded in the financing architecture, so investors should expect part of it to fund Organon. But the evidence supports 'financing optimisation around a strategic acquisition', not 'an acquisition undertaken to unlock Taro cash'. The latter thesis fails the size test and ignores the operating integration already visible in receivables, inventory and distribution flows.</w:t>
            </w:r>
          </w:p>
        </w:tc>
      </w:tr>
    </w:tbl>
    <w:p>
      <w:pPr>
        <w:keepNext/>
        <w:spacing w:before="40" w:after="60" w:line="240" w:lineRule="auto"/>
        <w:pBdr>
          <w:bottom w:val="single" w:sz="8" w:space="2" w:color="2F75B5"/>
        </w:pBdr>
      </w:pPr>
      <w:r>
        <w:rPr>
          <w:rFonts w:ascii="Arial" w:hAnsi="Arial" w:eastAsia="Arial"/>
          <w:b/>
          <w:i w:val="0"/>
          <w:color w:val="17365D"/>
          <w:sz w:val="20"/>
        </w:rPr>
        <w:t>What investors should monitor through closing and deleveraging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75"/>
        <w:gridCol w:w="2675"/>
        <w:gridCol w:w="2675"/>
        <w:gridCol w:w="2675"/>
      </w:tblGrid>
      <w:tr>
        <w:tc>
          <w:tcPr>
            <w:tcW w:type="dxa" w:w="1800"/>
            <w:shd w:fill="17365D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Monitor</w:t>
            </w:r>
          </w:p>
        </w:tc>
        <w:tc>
          <w:tcPr>
            <w:tcW w:type="dxa" w:w="3240"/>
            <w:shd w:fill="17365D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Base-case expectation</w:t>
            </w:r>
          </w:p>
        </w:tc>
        <w:tc>
          <w:tcPr>
            <w:tcW w:type="dxa" w:w="2808"/>
            <w:shd w:fill="17365D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Red flag</w:t>
            </w:r>
          </w:p>
        </w:tc>
        <w:tc>
          <w:tcPr>
            <w:tcW w:type="dxa" w:w="2808"/>
            <w:shd w:fill="17365D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Read-through</w:t>
            </w:r>
          </w:p>
        </w:tc>
      </w:tr>
      <w:tr>
        <w:tc>
          <w:tcPr>
            <w:tcW w:type="dxa" w:w="1800"/>
            <w:shd w:fill="FFFFFF"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keepNext w:val="0"/>
              <w:spacing w:before="0" w:after="0" w:line="221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365D"/>
                <w:sz w:val="12"/>
              </w:rPr>
              <w:t>Funding mix</w:t>
            </w:r>
          </w:p>
        </w:tc>
        <w:tc>
          <w:tcPr>
            <w:tcW w:type="dxa" w:w="3240"/>
            <w:shd w:fill="FFFFFF"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keepNext w:val="0"/>
              <w:spacing w:before="0" w:after="0" w:line="221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Taro/Canada liquidity contributes to the US$2.0-2.5bn cash component; the balance is bank debt.</w:t>
            </w:r>
          </w:p>
        </w:tc>
        <w:tc>
          <w:tcPr>
            <w:tcW w:type="dxa" w:w="2808"/>
            <w:shd w:fill="FFFFFF"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keepNext w:val="0"/>
              <w:spacing w:before="0" w:after="0" w:line="221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A large pre-close cash extraction with limited disclosure on tax or working-capital needs.</w:t>
            </w:r>
          </w:p>
        </w:tc>
        <w:tc>
          <w:tcPr>
            <w:tcW w:type="dxa" w:w="2808"/>
            <w:shd w:fill="FFFFFF"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keepNext w:val="0"/>
              <w:spacing w:before="0" w:after="0" w:line="221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Confirms whether cash is funding optimisation or the central transaction objective.</w:t>
            </w:r>
          </w:p>
        </w:tc>
      </w:tr>
      <w:tr>
        <w:tc>
          <w:tcPr>
            <w:tcW w:type="dxa" w:w="1800"/>
            <w:shd w:fill="F2F2F2"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keepNext w:val="0"/>
              <w:spacing w:before="0" w:after="0" w:line="221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365D"/>
                <w:sz w:val="12"/>
              </w:rPr>
              <w:t>Debt paydown</w:t>
            </w:r>
          </w:p>
        </w:tc>
        <w:tc>
          <w:tcPr>
            <w:tcW w:type="dxa" w:w="3240"/>
            <w:shd w:fill="F2F2F2"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keepNext w:val="0"/>
              <w:spacing w:before="0" w:after="0" w:line="221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US$2.0-2.5bn annual combined FCF drives rapid deleveraging from ~2.3x net debt/EBITDA.</w:t>
            </w:r>
          </w:p>
        </w:tc>
        <w:tc>
          <w:tcPr>
            <w:tcW w:type="dxa" w:w="2808"/>
            <w:shd w:fill="F2F2F2"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keepNext w:val="0"/>
              <w:spacing w:before="0" w:after="0" w:line="221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Cash remains offshore while acquisition debt persists or refinancing costs rise.</w:t>
            </w:r>
          </w:p>
        </w:tc>
        <w:tc>
          <w:tcPr>
            <w:tcW w:type="dxa" w:w="2808"/>
            <w:shd w:fill="F2F2F2"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keepNext w:val="0"/>
              <w:spacing w:before="0" w:after="0" w:line="221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Most important near-term determinant of EPS and equity value.</w:t>
            </w:r>
          </w:p>
        </w:tc>
      </w:tr>
      <w:tr>
        <w:tc>
          <w:tcPr>
            <w:tcW w:type="dxa" w:w="1800"/>
            <w:shd w:fill="FFFFFF"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keepNext w:val="0"/>
              <w:spacing w:before="0" w:after="0" w:line="221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365D"/>
                <w:sz w:val="12"/>
              </w:rPr>
              <w:t>Innovation investment</w:t>
            </w:r>
          </w:p>
        </w:tc>
        <w:tc>
          <w:tcPr>
            <w:tcW w:type="dxa" w:w="3240"/>
            <w:shd w:fill="FFFFFF"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keepNext w:val="0"/>
              <w:spacing w:before="0" w:after="0" w:line="221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R&amp;D remains protected while Organon adds women's health, biosimilars and global commercial reach.</w:t>
            </w:r>
          </w:p>
        </w:tc>
        <w:tc>
          <w:tcPr>
            <w:tcW w:type="dxa" w:w="2808"/>
            <w:shd w:fill="FFFFFF"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keepNext w:val="0"/>
              <w:spacing w:before="0" w:after="0" w:line="221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Material R&amp;D cuts are required to meet synergy or leverage targets.</w:t>
            </w:r>
          </w:p>
        </w:tc>
        <w:tc>
          <w:tcPr>
            <w:tcW w:type="dxa" w:w="2808"/>
            <w:shd w:fill="FFFFFF"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keepNext w:val="0"/>
              <w:spacing w:before="0" w:after="0" w:line="221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Would weaken management's innovation-led strategic argument.</w:t>
            </w:r>
          </w:p>
        </w:tc>
      </w:tr>
      <w:tr>
        <w:tc>
          <w:tcPr>
            <w:tcW w:type="dxa" w:w="1800"/>
            <w:shd w:fill="F2F2F2"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keepNext w:val="0"/>
              <w:spacing w:before="0" w:after="0" w:line="221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365D"/>
                <w:sz w:val="12"/>
              </w:rPr>
              <w:t>Working capital</w:t>
            </w:r>
          </w:p>
        </w:tc>
        <w:tc>
          <w:tcPr>
            <w:tcW w:type="dxa" w:w="3240"/>
            <w:shd w:fill="F2F2F2"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keepNext w:val="0"/>
              <w:spacing w:before="0" w:after="0" w:line="221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Receivables factoring and LRD integration continue to simplify US operations.</w:t>
            </w:r>
          </w:p>
        </w:tc>
        <w:tc>
          <w:tcPr>
            <w:tcW w:type="dxa" w:w="2808"/>
            <w:shd w:fill="F2F2F2"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keepNext w:val="0"/>
              <w:spacing w:before="0" w:after="0" w:line="221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Taro/Canada AR or inventory rises without matching sales growth.</w:t>
            </w:r>
          </w:p>
        </w:tc>
        <w:tc>
          <w:tcPr>
            <w:tcW w:type="dxa" w:w="2808"/>
            <w:shd w:fill="F2F2F2"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keepNext w:val="0"/>
              <w:spacing w:before="0" w:after="0" w:line="221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>Tests whether the treasury architecture remains operationally grounded.</w:t>
            </w:r>
          </w:p>
        </w:tc>
      </w:tr>
    </w:tbl>
    <w:p>
      <w:pPr>
        <w:keepNext w:val="0"/>
        <w:spacing w:before="20" w:after="0" w:line="228" w:lineRule="auto"/>
      </w:pPr>
      <w:r>
        <w:rPr>
          <w:rFonts w:ascii="Arial" w:hAnsi="Arial" w:eastAsia="Arial"/>
          <w:b w:val="0"/>
          <w:i/>
          <w:color w:val="4A4A4A"/>
          <w:sz w:val="12"/>
        </w:rPr>
        <w:t>Sources: FY26 standalone financial statements of Taro Pharmaceutical Industries, Sun Pharma Canada, Taro USA, Taro International, Taro North America and Taro Pharma Corp.; Sun Pharmaceutical Holdings USA FY26 special-purpose consolidated statements; Sun Pharma FY26 Annual Report; Organon merger agreement dated 26 April 2026; Sun Pharma-Organon investor call transcript; Canada-Israel Income Tax Convention. Estimates and bridge scenarios are analyst calculations.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504" w:right="605" w:bottom="490" w:left="605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center"/>
    </w:pPr>
    <w:r>
      <w:rPr>
        <w:rFonts w:ascii="Arial" w:hAnsi="Arial" w:eastAsia="Arial"/>
        <w:b w:val="0"/>
        <w:i w:val="0"/>
        <w:color w:val="4A4A4A"/>
        <w:sz w:val="12"/>
      </w:rPr>
      <w:t>Company filings; regulatory documents; analyst calculations. For discussion purposes.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right"/>
    </w:pPr>
    <w:r>
      <w:rPr>
        <w:rFonts w:ascii="Arial" w:hAnsi="Arial" w:eastAsia="Arial"/>
        <w:b/>
        <w:i w:val="0"/>
        <w:color w:val="4A4A4A"/>
        <w:sz w:val="13"/>
      </w:rPr>
      <w:t>HEALTHCARE | EVENT ANALYSIS | 16 JULY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Sun Pharma / Organon: Taro Cash Analysis</dc:title>
  <dc:subject>Taro legal-entity cash, working capital, cross-border financing and Organon acquisition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