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7702" w:rsidRDefault="008965E7">
      <w:pPr>
        <w:pStyle w:val="BodyText"/>
      </w:pPr>
      <w:r>
        <w:t xml:space="preserve">Nexplanon is Organon’s most important women’s health asset and the clearest example of why the portfolio is more defensible than a standard mature-brands basket. Nexplanon, also marketed as Implanon NXT in certain markets, is a single-rod, long-acting reversible contraceptive implant containing </w:t>
      </w:r>
      <w:proofErr w:type="spellStart"/>
      <w:r>
        <w:t>etonogestrel</w:t>
      </w:r>
      <w:proofErr w:type="spellEnd"/>
      <w:r>
        <w:t>. In simple terms, it is a small hormonal implant inserted under the skin of a woman’s upper arm by a trained healthcare professional, providing pregnancy prevention without the adherence burden of a daily pill. The product generated $830 million in 2023, $963 million in 2024 and $921 million in 2025, making it the anchor product in Organon’s women’s health franchise. The 2025 decline should not be interpreted as a clean signal of weakening demand. The pressure was concentrated in the U.S., where sales declined from $672 million in 2024 to $610 million in 2025, while international sales increased from $291 million to $311 million. The more important long-term development is the FDA label expansion from three years to up to five years of approved use. This is not a patent extension; it is a duration-of-use expansion that increases the clinical and economic utility of the product. Nexplanon also carries a REMS because incorrect insertion or removal can lead to complications, including deep placement, difficult localization, migration, neurovascular injury and removal complexity. That makes the product structurally harder to replicate than a conventional generic pill. Any competitor must address drug-device manufacturing, insertion-system reliability, pharmacokinetic performance, provider training, controlled distribution, procedural risk management and regulatory execution. We remain constructive on Nexplanon because it combines scale, clinical relevance, physician-administered stickiness, international growth potential and high practical barriers to rapid substitution. Under Sun Pharma, the asset could benefit from broader gynecology coverage, deeper emerging-market sales infrastructure, stronger institutional access and better execution in underpenetrated markets such as India, Brazil, MENA and select Asia-Pacific geographies.</w:t>
      </w:r>
    </w:p>
    <w:sectPr w:rsidR="00C077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3580C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0005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702"/>
    <w:rsid w:val="008965E7"/>
    <w:rsid w:val="00C0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34D5E"/>
  <w15:docId w15:val="{57CE03CF-6A37-954E-82EA-9FD20800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Shirsh Sawarna</cp:lastModifiedBy>
  <cp:revision>2</cp:revision>
  <dcterms:created xsi:type="dcterms:W3CDTF">2026-06-16T04:07:00Z</dcterms:created>
  <dcterms:modified xsi:type="dcterms:W3CDTF">2026-06-16T04:34:00Z</dcterms:modified>
</cp:coreProperties>
</file>