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Pfizer Limited</w:t>
      </w:r>
    </w:p>
    <w:p>
      <w:pPr>
        <w:pStyle w:val="Heading1"/>
      </w:pPr>
      <w:r>
        <w:t>Outperform as the listed launch cycle replaces Minipress and the cost reset lifts earnings</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c>
          <w:tcPr>
            <w:tcW w:type="dxa" w:w="1469"/>
            <w:shd w:fill="087D9C"/>
            <w:tcMar>
              <w:top w:w="80" w:type="dxa"/>
              <w:start w:w="100" w:type="dxa"/>
              <w:bottom w:w="80" w:type="dxa"/>
              <w:end w:w="100" w:type="dxa"/>
            </w:tcMar>
            <w:vAlign w:val="center"/>
          </w:tcPr>
          <w:p>
            <w:pPr>
              <w:jc w:val="center"/>
            </w:pPr>
            <w:r>
              <w:rPr>
                <w:rFonts w:ascii="Arial" w:hAnsi="Arial"/>
                <w:b/>
                <w:color w:val="FFFFFF"/>
                <w:sz w:val="16"/>
              </w:rPr>
              <w:t>Rating</w:t>
            </w:r>
          </w:p>
        </w:tc>
        <w:tc>
          <w:tcPr>
            <w:tcW w:type="dxa" w:w="1613"/>
            <w:shd w:fill="087D9C"/>
            <w:tcMar>
              <w:top w:w="80" w:type="dxa"/>
              <w:start w:w="100" w:type="dxa"/>
              <w:bottom w:w="80" w:type="dxa"/>
              <w:end w:w="100" w:type="dxa"/>
            </w:tcMar>
            <w:vAlign w:val="center"/>
          </w:tcPr>
          <w:p>
            <w:pPr>
              <w:jc w:val="center"/>
            </w:pPr>
            <w:r>
              <w:rPr>
                <w:rFonts w:ascii="Arial" w:hAnsi="Arial"/>
                <w:b/>
                <w:color w:val="FFFFFF"/>
                <w:sz w:val="16"/>
              </w:rPr>
              <w:t>Target price</w:t>
            </w:r>
          </w:p>
        </w:tc>
        <w:tc>
          <w:tcPr>
            <w:tcW w:type="dxa" w:w="1555"/>
            <w:shd w:fill="087D9C"/>
            <w:tcMar>
              <w:top w:w="80" w:type="dxa"/>
              <w:start w:w="100" w:type="dxa"/>
              <w:bottom w:w="80" w:type="dxa"/>
              <w:end w:w="100" w:type="dxa"/>
            </w:tcMar>
            <w:vAlign w:val="center"/>
          </w:tcPr>
          <w:p>
            <w:pPr>
              <w:jc w:val="center"/>
            </w:pPr>
            <w:r>
              <w:rPr>
                <w:rFonts w:ascii="Arial" w:hAnsi="Arial"/>
                <w:b/>
                <w:color w:val="FFFFFF"/>
                <w:sz w:val="16"/>
              </w:rPr>
              <w:t>FY28E EPS</w:t>
            </w:r>
          </w:p>
        </w:tc>
        <w:tc>
          <w:tcPr>
            <w:tcW w:type="dxa" w:w="1368"/>
            <w:shd w:fill="087D9C"/>
            <w:tcMar>
              <w:top w:w="80" w:type="dxa"/>
              <w:start w:w="100" w:type="dxa"/>
              <w:bottom w:w="80" w:type="dxa"/>
              <w:end w:w="100" w:type="dxa"/>
            </w:tcMar>
            <w:vAlign w:val="center"/>
          </w:tcPr>
          <w:p>
            <w:pPr>
              <w:jc w:val="center"/>
            </w:pPr>
            <w:r>
              <w:rPr>
                <w:rFonts w:ascii="Arial" w:hAnsi="Arial"/>
                <w:b/>
                <w:color w:val="FFFFFF"/>
                <w:sz w:val="16"/>
              </w:rPr>
              <w:t>Target P/E</w:t>
            </w:r>
          </w:p>
        </w:tc>
        <w:tc>
          <w:tcPr>
            <w:tcW w:type="dxa" w:w="1152"/>
            <w:shd w:fill="087D9C"/>
            <w:tcMar>
              <w:top w:w="80" w:type="dxa"/>
              <w:start w:w="100" w:type="dxa"/>
              <w:bottom w:w="80" w:type="dxa"/>
              <w:end w:w="100" w:type="dxa"/>
            </w:tcMar>
            <w:vAlign w:val="center"/>
          </w:tcPr>
          <w:p>
            <w:pPr>
              <w:jc w:val="center"/>
            </w:pPr>
            <w:r>
              <w:rPr>
                <w:rFonts w:ascii="Arial" w:hAnsi="Arial"/>
                <w:b/>
                <w:color w:val="FFFFFF"/>
                <w:sz w:val="16"/>
              </w:rPr>
              <w:t>Upside</w:t>
            </w:r>
          </w:p>
        </w:tc>
        <w:tc>
          <w:tcPr>
            <w:tcW w:type="dxa" w:w="2016"/>
            <w:shd w:fill="087D9C"/>
            <w:tcMar>
              <w:top w:w="80" w:type="dxa"/>
              <w:start w:w="100" w:type="dxa"/>
              <w:bottom w:w="80" w:type="dxa"/>
              <w:end w:w="100" w:type="dxa"/>
            </w:tcMar>
            <w:vAlign w:val="center"/>
          </w:tcPr>
          <w:p>
            <w:pPr>
              <w:jc w:val="center"/>
            </w:pPr>
            <w:r>
              <w:rPr>
                <w:rFonts w:ascii="Arial" w:hAnsi="Arial"/>
                <w:b/>
                <w:color w:val="FFFFFF"/>
                <w:sz w:val="16"/>
              </w:rPr>
              <w:t>FY29E EBITDA margin</w:t>
            </w:r>
          </w:p>
        </w:tc>
      </w:tr>
      <w:tr>
        <w:tc>
          <w:tcPr>
            <w:tcW w:type="dxa" w:w="1469"/>
            <w:shd w:fill="F2F2F2"/>
            <w:tcMar>
              <w:top w:w="80" w:type="dxa"/>
              <w:start w:w="100" w:type="dxa"/>
              <w:bottom w:w="80" w:type="dxa"/>
              <w:end w:w="100" w:type="dxa"/>
            </w:tcMar>
          </w:tcPr>
          <w:p>
            <w:pPr>
              <w:jc w:val="center"/>
            </w:pPr>
            <w:r>
              <w:rPr>
                <w:rFonts w:ascii="Arial" w:hAnsi="Arial"/>
                <w:b/>
                <w:sz w:val="18"/>
              </w:rPr>
              <w:t>Outperform</w:t>
            </w:r>
          </w:p>
        </w:tc>
        <w:tc>
          <w:tcPr>
            <w:tcW w:type="dxa" w:w="1613"/>
            <w:shd w:fill="F2F2F2"/>
            <w:tcMar>
              <w:top w:w="80" w:type="dxa"/>
              <w:start w:w="100" w:type="dxa"/>
              <w:bottom w:w="80" w:type="dxa"/>
              <w:end w:w="100" w:type="dxa"/>
            </w:tcMar>
          </w:tcPr>
          <w:p>
            <w:pPr>
              <w:jc w:val="center"/>
            </w:pPr>
            <w:r>
              <w:rPr>
                <w:rFonts w:ascii="Arial" w:hAnsi="Arial"/>
                <w:b/>
                <w:sz w:val="18"/>
              </w:rPr>
              <w:t>INR4,298</w:t>
            </w:r>
          </w:p>
        </w:tc>
        <w:tc>
          <w:tcPr>
            <w:tcW w:type="dxa" w:w="1555"/>
            <w:shd w:fill="F2F2F2"/>
            <w:tcMar>
              <w:top w:w="80" w:type="dxa"/>
              <w:start w:w="100" w:type="dxa"/>
              <w:bottom w:w="80" w:type="dxa"/>
              <w:end w:w="100" w:type="dxa"/>
            </w:tcMar>
          </w:tcPr>
          <w:p>
            <w:pPr>
              <w:jc w:val="center"/>
            </w:pPr>
            <w:r>
              <w:rPr>
                <w:rFonts w:ascii="Arial" w:hAnsi="Arial"/>
                <w:b w:val="0"/>
                <w:sz w:val="18"/>
              </w:rPr>
              <w:t>INR195.4</w:t>
            </w:r>
          </w:p>
        </w:tc>
        <w:tc>
          <w:tcPr>
            <w:tcW w:type="dxa" w:w="1368"/>
            <w:shd w:fill="F2F2F2"/>
            <w:tcMar>
              <w:top w:w="80" w:type="dxa"/>
              <w:start w:w="100" w:type="dxa"/>
              <w:bottom w:w="80" w:type="dxa"/>
              <w:end w:w="100" w:type="dxa"/>
            </w:tcMar>
          </w:tcPr>
          <w:p>
            <w:pPr>
              <w:jc w:val="center"/>
            </w:pPr>
            <w:r>
              <w:rPr>
                <w:rFonts w:ascii="Arial" w:hAnsi="Arial"/>
                <w:b w:val="0"/>
                <w:sz w:val="18"/>
              </w:rPr>
              <w:t>22x</w:t>
            </w:r>
          </w:p>
        </w:tc>
        <w:tc>
          <w:tcPr>
            <w:tcW w:type="dxa" w:w="1152"/>
            <w:shd w:fill="F2F2F2"/>
            <w:tcMar>
              <w:top w:w="80" w:type="dxa"/>
              <w:start w:w="100" w:type="dxa"/>
              <w:bottom w:w="80" w:type="dxa"/>
              <w:end w:w="100" w:type="dxa"/>
            </w:tcMar>
          </w:tcPr>
          <w:p>
            <w:pPr>
              <w:jc w:val="center"/>
            </w:pPr>
            <w:r>
              <w:rPr>
                <w:rFonts w:ascii="Arial" w:hAnsi="Arial"/>
                <w:b w:val="0"/>
                <w:sz w:val="18"/>
              </w:rPr>
              <w:t>~19%</w:t>
            </w:r>
          </w:p>
        </w:tc>
        <w:tc>
          <w:tcPr>
            <w:tcW w:type="dxa" w:w="2016"/>
            <w:shd w:fill="F2F2F2"/>
            <w:tcMar>
              <w:top w:w="80" w:type="dxa"/>
              <w:start w:w="100" w:type="dxa"/>
              <w:bottom w:w="80" w:type="dxa"/>
              <w:end w:w="100" w:type="dxa"/>
            </w:tcMar>
          </w:tcPr>
          <w:p>
            <w:pPr>
              <w:jc w:val="center"/>
            </w:pPr>
            <w:r>
              <w:rPr>
                <w:rFonts w:ascii="Arial" w:hAnsi="Arial"/>
                <w:b w:val="0"/>
                <w:sz w:val="18"/>
              </w:rPr>
              <w:t>~38.5%</w:t>
            </w:r>
          </w:p>
        </w:tc>
      </w:tr>
    </w:tbl>
    <w:p>
      <w:pPr>
        <w:spacing w:after="20"/>
      </w:pPr>
    </w:p>
    <w:p>
      <w:r>
        <w:t>We initiate coverage on Pfizer Limited at Outperform with a target price of INR4,298, based on 22x FY28E EPS of INR195.4. The target implies approximately 19% upside to the reference price used in the supplied analysis. The investment case rests on cash flows that are already inside the listed company. We forecast Pfizer Limited's revenue rising from approximately INR25bn in FY26 to INR32bn in FY29E, while EBITDA margin expands from approximately 35.9% to 38.5%. Private oncology and rare-disease products remain outside the earnings perimeter and are not required to reach our target.</w:t>
      </w:r>
      <w:r>
        <w:rPr>
          <w:color w:val="4A4A4A"/>
          <w:sz w:val="15"/>
          <w:vertAlign w:val="superscript"/>
        </w:rPr>
        <w:t xml:space="preserve"> [1]</w:t>
      </w:r>
    </w:p>
    <w:p>
      <w:r>
        <w:t>The recent Minipress transaction creates the central debate. Minipress XL generated INR2,286mn of sales in the twelve months to July 2026, equivalent to roughly 9% of Pfizer Limited's FY26 revenue. Pfizer Limited discontinued the brand in September 2026 and disclosed a payment of approximately INR1,314mn from its US parent. The much larger INR12.5bn trademark consideration was paid by Novartis India to Pfizer Inc. and Pfizer Products Inc., not to the listed Indian company. The stock should therefore be valued on the earnings that remain after Minipress, rather than on a transaction value that listed shareholders did not receive.</w:t>
      </w:r>
      <w:r>
        <w:rPr>
          <w:color w:val="4A4A4A"/>
          <w:sz w:val="15"/>
          <w:vertAlign w:val="superscript"/>
        </w:rPr>
        <w:t xml:space="preserve"> [6, 7]</w:t>
      </w:r>
    </w:p>
    <w:p>
      <w:r>
        <w:t>Our positive view follows from the replacement economics. The supplied forecasts show Becosules, Mucaine and Gelusil adding INR730mn of revenue between FY26 and FY28E; vaccines adding INR830mn; the hospital portfolio adding INR960mn; Eliquis adding INR600mn; and Nurtec adding INR120mn. Together, these named listed franchises add INR3,240mn, approximately 1.4x Minipress XL's trailing revenue. The replacement requires execution, but it is visible and does not depend on a speculative transfer of oncology assets or a future GLP-1 launch. Cost savings and better mix then provide the second leg of the earnings recovery.</w:t>
      </w:r>
      <w:r>
        <w:rPr>
          <w:color w:val="4A4A4A"/>
          <w:sz w:val="15"/>
          <w:vertAlign w:val="superscript"/>
        </w:rPr>
        <w:t xml:space="preserve"> [1, 6, 7]</w:t>
      </w:r>
    </w:p>
    <w:p>
      <w:pPr>
        <w:pStyle w:val="Heading1"/>
      </w:pPr>
      <w:r>
        <w:t>Company overview</w:t>
      </w:r>
    </w:p>
    <w:p>
      <w:r>
        <w:t>Pfizer Limited is the India-listed pharmaceutical subsidiary of Pfizer Inc. Pfizer began operating in India in 1950 and the company listed in 1966. The listed business has more than 150 products across 15 therapeutic areas and operates a manufacturing facility in Goa. FY26 revenue from operations was INR25,196.5mn. The company reports one pharmaceutical segment and had no subsidiary, associate or joint venture at June 2026. That legal perimeter matters because Pfizer's wider India operations include private entities whose products and profits do not automatically accrue to listed shareholders.</w:t>
      </w:r>
      <w:r>
        <w:rPr>
          <w:color w:val="4A4A4A"/>
          <w:sz w:val="15"/>
          <w:vertAlign w:val="superscript"/>
        </w:rPr>
        <w:t xml:space="preserve"> [2, 4, 12]</w:t>
      </w:r>
    </w:p>
    <w:p>
      <w:r>
        <w:t>The listed portfolio combines established primary-care brands with a smaller but faster-growing set of hospital, vaccine and specialty products. Becosules, Gelusil and Mucaine generate repeat demand through vitamins and gastrointestinal care. Eliquis serves chronic anticoagulation. Prevenar 13 anchors pneumococcal vaccination, while Prevenar 20 extends the franchise into adult immunisation. Magnex, Meronem and Zavicefta support the hospital anti-infective base, with Emblaveo addressing resistant Gram-negative infections. Nurtec adds a new migraine franchise. This mix means that revenue is earned through several different patient pathways rather than one common promotional model.</w:t>
      </w:r>
      <w:r>
        <w:rPr>
          <w:color w:val="4A4A4A"/>
          <w:sz w:val="15"/>
          <w:vertAlign w:val="superscript"/>
        </w:rPr>
        <w:t xml:space="preserve"> [2, 3]</w:t>
      </w:r>
    </w:p>
    <w:p>
      <w:r>
        <w:t>The private Pfizer entities contain much of the oncology and rare-disease exposure highlighted in the group portfolio, including brands such as Palbace, Lorviqua and Vyndamax. The listed company has access to the parent through product supply, licensing and shared capabilities, but the shareholder owns only the contracts and economics booked by Pfizer Limited. A group launch becomes relevant to the stock only when the listed entity receives commercial rights, a supply margin, a royalty or another disclosed cash flow.</w:t>
      </w:r>
      <w:r>
        <w:rPr>
          <w:color w:val="4A4A4A"/>
          <w:sz w:val="15"/>
          <w:vertAlign w:val="superscript"/>
        </w:rPr>
        <w:t xml:space="preserve"> [1, 2]</w:t>
      </w:r>
    </w:p>
    <w:tbl>
      <w:tblPr>
        <w:tblW w:type="auto" w:w="0"/>
        <w:jc w:val="center"/>
        <w:tblLayout w:type="autofit"/>
        <w:tblLook w:firstColumn="1" w:firstRow="1" w:lastColumn="0" w:lastRow="0" w:noHBand="0" w:noVBand="1" w:val="04A0"/>
      </w:tblPr>
      <w:tblGrid>
        <w:gridCol w:w="9994"/>
      </w:tblGrid>
      <w:tr>
        <w:trPr>
          <w:cantSplit/>
        </w:trPr>
        <w:tc>
          <w:tcPr>
            <w:tcW w:type="dxa" w:w="9994"/>
            <w:shd w:fill="EAF5F8"/>
            <w:tcMar>
              <w:top w:w="100" w:type="dxa"/>
              <w:start w:w="130" w:type="dxa"/>
              <w:bottom w:w="100" w:type="dxa"/>
              <w:end w:w="130" w:type="dxa"/>
            </w:tcMar>
          </w:tcPr>
          <w:p>
            <w:pPr>
              <w:keepLines/>
              <w:spacing w:after="0"/>
            </w:pPr>
            <w:r>
              <w:rPr>
                <w:rFonts w:ascii="Arial" w:hAnsi="Arial"/>
                <w:b/>
                <w:color w:val="087D9C"/>
                <w:sz w:val="17"/>
              </w:rPr>
              <w:t xml:space="preserve">EXHIBIT PLACEMENT  </w:t>
            </w:r>
            <w:r>
              <w:rPr>
                <w:rFonts w:ascii="Arial" w:hAnsi="Arial"/>
                <w:i/>
                <w:sz w:val="17"/>
              </w:rPr>
              <w:t>Insert Exhibit 1 here. Use the listed-versus-private portfolio map from slide 34. Title: Pfizer Limited owns the legacy, vaccine, hospital and neurology franchises; oncology and rare disease remain outside the listed perimeter. Caption: The listed investment case must be built on products whose commercial economics sit in Pfizer Limited. Private oncology and rare-disease growth is upside only after a disclosed transfer, licence or supply agreement. Source: Pfizer Limited FY2025-26 annual report; Pfizer India product portfolio; company product disclosures; Bernstein analysis.</w:t>
            </w:r>
          </w:p>
        </w:tc>
      </w:tr>
    </w:tbl>
    <w:p>
      <w:pPr>
        <w:spacing w:after="0"/>
      </w:pPr>
    </w:p>
    <w:p>
      <w:pPr>
        <w:pStyle w:val="Heading1"/>
      </w:pPr>
      <w:r>
        <w:t>Debate 1: Can the listed company sustain growth when faster specialty assets sit in private entities?</w:t>
      </w:r>
    </w:p>
    <w:p>
      <w:r>
        <w:t>The first-principles answer begins with ownership. Pfizer Limited shareholders receive the revenue and profit recorded by the listed legal entity. They do not own Pfizer India's full market rank, private oncology sales or manufacturing revenue earned by another affiliate. The group forecast in the supplied deck illustrates the distinction: Pfizer Limited rises from roughly INR25bn in FY26 to INR32bn in FY29E, while a separate private pharmaceutical business grows more rapidly and a separate manufacturing-services business supplies additional group revenue. Only the first component enters our valuation.</w:t>
      </w:r>
      <w:r>
        <w:rPr>
          <w:color w:val="4A4A4A"/>
          <w:sz w:val="15"/>
          <w:vertAlign w:val="superscript"/>
        </w:rPr>
        <w:t xml:space="preserve"> [1, 2, 4]</w:t>
      </w:r>
    </w:p>
    <w:p>
      <w:r>
        <w:t>Within the listed company, medicines perform nearly all of the economic work. Quarterly service revenue is small relative to medicine sales, so service income cannot compensate for weak product demand. The recovery therefore requires additional treated patients, continued prescriptions and successful launch adoption across the listed brands. Q1FY27 revenue from operations of INR6,531.7mn increased 8.3% year on year, providing an initial indication that the remaining portfolio can grow, although one quarter does not establish a sustained trend.</w:t>
      </w:r>
      <w:r>
        <w:rPr>
          <w:color w:val="4A4A4A"/>
          <w:sz w:val="15"/>
          <w:vertAlign w:val="superscript"/>
        </w:rPr>
        <w:t xml:space="preserve"> [4]</w:t>
      </w:r>
    </w:p>
    <w:tbl>
      <w:tblPr>
        <w:tblW w:type="auto" w:w="0"/>
        <w:jc w:val="center"/>
        <w:tblLayout w:type="autofit"/>
        <w:tblLook w:firstColumn="1" w:firstRow="1" w:lastColumn="0" w:lastRow="0" w:noHBand="0" w:noVBand="1" w:val="04A0"/>
      </w:tblPr>
      <w:tblGrid>
        <w:gridCol w:w="9994"/>
      </w:tblGrid>
      <w:tr>
        <w:trPr>
          <w:cantSplit/>
        </w:trPr>
        <w:tc>
          <w:tcPr>
            <w:tcW w:type="dxa" w:w="9994"/>
            <w:shd w:fill="EAF5F8"/>
            <w:tcMar>
              <w:top w:w="100" w:type="dxa"/>
              <w:start w:w="130" w:type="dxa"/>
              <w:bottom w:w="100" w:type="dxa"/>
              <w:end w:w="130" w:type="dxa"/>
            </w:tcMar>
          </w:tcPr>
          <w:p>
            <w:pPr>
              <w:keepLines/>
              <w:spacing w:after="0"/>
            </w:pPr>
            <w:r>
              <w:rPr>
                <w:rFonts w:ascii="Arial" w:hAnsi="Arial"/>
                <w:b/>
                <w:color w:val="087D9C"/>
                <w:sz w:val="17"/>
              </w:rPr>
              <w:t xml:space="preserve">EXHIBIT PLACEMENT  </w:t>
            </w:r>
            <w:r>
              <w:rPr>
                <w:rFonts w:ascii="Arial" w:hAnsi="Arial"/>
                <w:i/>
                <w:sz w:val="17"/>
              </w:rPr>
              <w:t>Insert Exhibit 2 here. Use slide 35, quarterly medicines versus services. Title: Medicines must deliver Pfizer Limited's recovery because service revenue is too small to offset product weakness. Caption: The listed earnings trajectory depends on repeat demand and launch sell-through in medicines. Small service revenue offers limited protection if the product portfolio slows. Source: Pfizer Limited quarterly financial results; IQVIA Indian Pharmaceutical Market data; Bernstein estimates and analysis.</w:t>
            </w:r>
          </w:p>
        </w:tc>
      </w:tr>
    </w:tbl>
    <w:p>
      <w:pPr>
        <w:spacing w:after="0"/>
      </w:pPr>
    </w:p>
    <w:p>
      <w:r>
        <w:t>Minipress demonstrates why the perimeter cannot be treated as a technical detail. Novartis India paid approximately INR12.5bn to Pfizer Inc. and Pfizer Products Inc. for the Indian trademarks and related intellectual property. Pfizer Limited did not own those assets and disclosed only a USD13.9mn, or approximately INR1,313.8mn, lump-sum payment from its US parent when it discontinued marketing and distribution. The listed company loses the recurring sales and contribution from Minipress, while the parent receives the strategic value of the trademark sale. Our valuation therefore excludes the parent-level consideration and treats the listed payment as non-recurring.</w:t>
      </w:r>
      <w:r>
        <w:rPr>
          <w:color w:val="4A4A4A"/>
          <w:sz w:val="15"/>
          <w:vertAlign w:val="superscript"/>
        </w:rPr>
        <w:t xml:space="preserve"> [6, 7]</w:t>
      </w:r>
    </w:p>
    <w:p>
      <w:r>
        <w:t>The remaining question is whether identified products can replace the lost revenue. Minipress XL's INR2,286mn trailing sales represented approximately 9.1% of FY26 revenue. The five named forecast blocks add INR3,240mn by FY28E. Core brands contribute INR730mn, vaccines INR830mn, hospital anti-infectives INR960mn, Eliquis INR600mn and Nurtec INR120mn. Those additions exceed Minipress revenue by about INR954mn. The calculation does not prove the timing of replacement, because Minipress exits immediately while the other products ramp over two years. It does show that the model contains enough identifiable listed revenue to rebuild the base without assuming oncology migration.</w:t>
      </w:r>
      <w:r>
        <w:rPr>
          <w:color w:val="4A4A4A"/>
          <w:sz w:val="15"/>
          <w:vertAlign w:val="superscript"/>
        </w:rPr>
        <w:t xml:space="preserve"> [1, 6, 7]</w:t>
      </w:r>
    </w:p>
    <w:tbl>
      <w:tblPr>
        <w:tblW w:type="auto" w:w="0"/>
        <w:jc w:val="center"/>
        <w:tblLayout w:type="autofit"/>
        <w:tblLook w:firstColumn="1" w:firstRow="1" w:lastColumn="0" w:lastRow="0" w:noHBand="0" w:noVBand="1" w:val="04A0"/>
      </w:tblPr>
      <w:tblGrid>
        <w:gridCol w:w="9994"/>
      </w:tblGrid>
      <w:tr>
        <w:trPr>
          <w:cantSplit/>
        </w:trPr>
        <w:tc>
          <w:tcPr>
            <w:tcW w:type="dxa" w:w="9994"/>
            <w:shd w:fill="EAF5F8"/>
            <w:tcMar>
              <w:top w:w="100" w:type="dxa"/>
              <w:start w:w="130" w:type="dxa"/>
              <w:bottom w:w="100" w:type="dxa"/>
              <w:end w:w="130" w:type="dxa"/>
            </w:tcMar>
          </w:tcPr>
          <w:p>
            <w:pPr>
              <w:keepLines/>
              <w:spacing w:after="0"/>
            </w:pPr>
            <w:r>
              <w:rPr>
                <w:rFonts w:ascii="Arial" w:hAnsi="Arial"/>
                <w:b/>
                <w:color w:val="087D9C"/>
                <w:sz w:val="17"/>
              </w:rPr>
              <w:t xml:space="preserve">EXHIBIT PLACEMENT  </w:t>
            </w:r>
            <w:r>
              <w:rPr>
                <w:rFonts w:ascii="Arial" w:hAnsi="Arial"/>
                <w:i/>
                <w:sz w:val="17"/>
              </w:rPr>
              <w:t>Insert Exhibit 3 here. Create a new waterfall. Start with INR2,286mn of Minipress XL trailing revenue removed, then show FY26-FY28E additions of INR730mn from Becosules/Mucaine/Gelusil, INR830mn from vaccines, INR960mn from the hospital portfolio, INR600mn from Eliquis and INR120mn from Nurtec. Title: Named listed growth engines replace approximately 1.4x Minipress revenue by FY28E. Caption: The replacement is driven by products already inside Pfizer Limited. Timing remains the risk, but the base case does not need private oncology assets or a GLP-1 launch. Source: Pfizer Limited Minipress filing dated 7 September 2026; Novartis India disclosure citing IQVIA MAT July 2026; supplied Pfizer Limited forecasts; Bernstein calculations.</w:t>
            </w:r>
          </w:p>
        </w:tc>
      </w:tr>
    </w:tbl>
    <w:p>
      <w:pPr>
        <w:spacing w:after="0"/>
      </w:pPr>
    </w:p>
    <w:p>
      <w:r>
        <w:t>The private portfolio remains a source of potential upside, not a base-case assumption. Pfizer can transfer a product, license commercial rights, appoint the listed company as manufacturer or retain the product in a private affiliate. Each route produces different revenue, margin, capital and related-party economics. We would add oncology or rare-disease value only after the legal rights, transfer price, commercial responsibilities and retained margin are disclosed. This discipline prevents a fast-growing group franchise from being counted in the listed stock before listed shareholders own its cash flow.</w:t>
      </w:r>
      <w:r>
        <w:rPr>
          <w:color w:val="4A4A4A"/>
          <w:sz w:val="15"/>
          <w:vertAlign w:val="superscript"/>
        </w:rPr>
        <w:t xml:space="preserve"> [1, 2]</w:t>
      </w:r>
    </w:p>
    <w:p>
      <w:r>
        <w:t>The monthly Pfizer group growth chart in the deck should not sit in the core body of the report. The series combines more than one entity and has moved above and below IPM over the period shown. If retained, it belongs in the appendix with a caption stating that group growth is volatile and is not a proxy for Pfizer Limited's earnings. The listed quarterly revenue series and the product-level forecasts are the more relevant evidence.</w:t>
      </w:r>
    </w:p>
    <w:p>
      <w:pPr>
        <w:pStyle w:val="Heading1"/>
      </w:pPr>
      <w:r>
        <w:t>Debate 2: Does leadership turnover create a key-man risk?</w:t>
      </w:r>
    </w:p>
    <w:p>
      <w:r>
        <w:t>Pfizer Limited is not a founder-led company whose product rights, physician relationships or capital allocation depend on one individual. Product innovation comes from Pfizer's global research organisation, local execution is distributed across the internal-medicine, vaccines and hospitals businesses, and the Goa facility plus external partners support manufacturing and distribution. Managing Director Meenakshi Nevatia has led the listed company since April 2023 and brings almost three decades of operating and consulting experience across McKinsey, Novartis and Stryker. The FY25 annual report also recorded five internal promotions to National Sales Leader roles and leadership transitions across Internal Medicine, Vaccines and Hospitals.</w:t>
      </w:r>
      <w:r>
        <w:rPr>
          <w:color w:val="4A4A4A"/>
          <w:sz w:val="15"/>
          <w:vertAlign w:val="superscript"/>
        </w:rPr>
        <w:t xml:space="preserve"> [2, 4, 12]</w:t>
      </w:r>
    </w:p>
    <w:p>
      <w:r>
        <w:t>The commercial evidence since those transitions is more important than management biography. Eliquis continued to grow after loss of exclusivity despite extensive generic competition. Prevenar 20 launched in August 2025 and, according to the FY26 annual report, reached a 12.1% value share of the pneumococcal vaccine market and approximately 200,000 adults by March 2026. The hospitals team launched Emblaveo and expanded the anti-infective portfolio. Management also entered a five-year agreement under which Cipla markets four listed brands while Pfizer continues to manufacture, source and supply them. These actions show that execution is being institutionalised across business units and partners.</w:t>
      </w:r>
      <w:r>
        <w:rPr>
          <w:color w:val="4A4A4A"/>
          <w:sz w:val="15"/>
          <w:vertAlign w:val="superscript"/>
        </w:rPr>
        <w:t xml:space="preserve"> [2, 3, 5, 9]</w:t>
      </w:r>
    </w:p>
    <w:p>
      <w:r>
        <w:t>The leadership risk has nevertheless increased. Executive Director, Finance and Chief Financial Officer Amit Agarwal left the company effective 8 October 2026 to pursue an external opportunity. Other senior-management changes have also been disclosed over the past eighteen months. Finance succession matters because the listed company holds substantial cash, executes related-party product arrangements and is absorbing a material portfolio reset. Investors need evidence that controls, capital allocation and transfer-pricing discipline remain stable while the new product launches scale.</w:t>
      </w:r>
      <w:r>
        <w:rPr>
          <w:color w:val="4A4A4A"/>
          <w:sz w:val="15"/>
          <w:vertAlign w:val="superscript"/>
        </w:rPr>
        <w:t xml:space="preserve"> [10]</w:t>
      </w:r>
    </w:p>
    <w:p>
      <w:r>
        <w:t>Our conclusion is that leadership is an execution risk rather than a single-person dependency. The product portfolio, parent supply relationships, field force and hospital access survive a management change. Forecast risk rises if the CFO role remains unresolved, business-unit leaders turn over again or new launches miss their adoption milestones. The key indicators are therefore the appointment of a permanent finance leader, retention of the vaccines and hospitals teams, quarterly launch sales and disclosure of related-party product economics.</w:t>
      </w:r>
    </w:p>
    <w:tbl>
      <w:tblPr>
        <w:tblW w:type="auto" w:w="0"/>
        <w:jc w:val="center"/>
        <w:tblLayout w:type="autofit"/>
        <w:tblLook w:firstColumn="1" w:firstRow="1" w:lastColumn="0" w:lastRow="0" w:noHBand="0" w:noVBand="1" w:val="04A0"/>
      </w:tblPr>
      <w:tblGrid>
        <w:gridCol w:w="9994"/>
      </w:tblGrid>
      <w:tr>
        <w:trPr>
          <w:cantSplit/>
        </w:trPr>
        <w:tc>
          <w:tcPr>
            <w:tcW w:type="dxa" w:w="9994"/>
            <w:shd w:fill="EAF5F8"/>
            <w:tcMar>
              <w:top w:w="100" w:type="dxa"/>
              <w:start w:w="130" w:type="dxa"/>
              <w:bottom w:w="100" w:type="dxa"/>
              <w:end w:w="130" w:type="dxa"/>
            </w:tcMar>
          </w:tcPr>
          <w:p>
            <w:pPr>
              <w:keepLines/>
              <w:spacing w:after="0"/>
            </w:pPr>
            <w:r>
              <w:rPr>
                <w:rFonts w:ascii="Arial" w:hAnsi="Arial"/>
                <w:b/>
                <w:color w:val="087D9C"/>
                <w:sz w:val="17"/>
              </w:rPr>
              <w:t xml:space="preserve">EXHIBIT PLACEMENT  </w:t>
            </w:r>
            <w:r>
              <w:rPr>
                <w:rFonts w:ascii="Arial" w:hAnsi="Arial"/>
                <w:i/>
                <w:sz w:val="17"/>
              </w:rPr>
              <w:t>Insert Exhibit 4 here. Create a management and execution timeline with four markers: Meenakshi Nevatia appointed Managing Director in April 2023; leadership transitions and five National Sales Leader promotions disclosed in FY25; Prevenar 20, Emblaveo and Nurtec launched during FY26; CFO resignation effective October 2026. Title: Pfizer Limited has built execution depth, but finance succession is now the principal leadership watchpoint. Caption: The company is not dependent on one commercial leader, although CFO succession and stability across launch-facing business units will determine confidence in the cost and margin reset. Source: Pfizer Limited FY2024-25 and FY2025-26 annual reports; Pfizer Limited board profile; Pfizer Limited CFO resignation filing dated 27 July 2026; Bernstein analysis.</w:t>
            </w:r>
          </w:p>
        </w:tc>
      </w:tr>
    </w:tbl>
    <w:p>
      <w:pPr>
        <w:spacing w:after="0"/>
      </w:pPr>
    </w:p>
    <w:p>
      <w:pPr>
        <w:pStyle w:val="Heading1"/>
      </w:pPr>
      <w:r>
        <w:t>Debate 3: Can the launch cycle support Outperform without listed oncology or a GLP-1?</w:t>
      </w:r>
    </w:p>
    <w:p>
      <w:r>
        <w:t>Our launch assessment starts with the number of eligible patients, the point of prescription, the frequency of treatment and the share of economics retained by Pfizer Limited. A product does not become a growth engine merely because Pfizer owns it globally. It must have Indian approval, sit inside the listed perimeter, reach the relevant prescriber and generate repeat or sufficiently broad one-time demand. On this basis, Prevenar 20 and the hospital anti-infectives carry more weight than speculative group pipeline assets.</w:t>
      </w:r>
      <w:r>
        <w:rPr>
          <w:color w:val="4A4A4A"/>
          <w:sz w:val="15"/>
          <w:vertAlign w:val="superscript"/>
        </w:rPr>
        <w:t xml:space="preserve"> [1, 2]</w:t>
      </w:r>
    </w:p>
    <w:p>
      <w:r>
        <w:t>Prevenar 20 expands Pfizer from paediatric pneumococcal vaccination into adult prevention. The addressable population is large, but the commercial funnel is demanding. Eligible adults must be identified, a physician must recommend vaccination, the patient must accept an out-of-pocket preventive expense and the provider must have access to the product. Because PCV20 is a single-shot vaccine, growth depends on recruiting new adults rather than recurring monthly prescriptions from the same patient. Hospital pathways, corporate health programmes, physician education and adult-vaccination awareness therefore determine the ramp. We forecast total vaccine revenue rising from approximately INR3,700mn in FY26 to INR4,530mn in FY28E, with Prevenar 20 increasing from approximately INR820mn to INR1,590mn and supplying nearly all of the incremental growth.</w:t>
      </w:r>
      <w:r>
        <w:rPr>
          <w:color w:val="4A4A4A"/>
          <w:sz w:val="15"/>
          <w:vertAlign w:val="superscript"/>
        </w:rPr>
        <w:t xml:space="preserve"> [1, 2, 9]</w:t>
      </w:r>
    </w:p>
    <w:p>
      <w:r>
        <w:t>Hospital anti-infectives have a different economic model. Sales depend on the number of severe and resistant infections treated in institutions, the brand's inclusion in hospital protocols, antimicrobial-stewardship approval, prescriber confidence and revenue per treatment course. Magnex, Meronem and Zavicefta provide the installed hospital relationships. Emblaveo extends the portfolio into multidrug-resistant Gram-negative infections, where the clinical need is high but use should remain evidence-led. We forecast the hospital portfolio rising from approximately INR4,280mn in FY26 to INR5,240mn in FY28E. This is an additional INR960mn, the largest named contribution in our replacement bridge.</w:t>
      </w:r>
      <w:r>
        <w:rPr>
          <w:color w:val="4A4A4A"/>
          <w:sz w:val="15"/>
          <w:vertAlign w:val="superscript"/>
        </w:rPr>
        <w:t xml:space="preserve"> [1, 2, 3]</w:t>
      </w:r>
    </w:p>
    <w:p>
      <w:r>
        <w:t>Eliquis provides a third type of growth. Anticoagulation is chronic, so revenue is driven by patient starts, persistence and branded share after generic entry. The FY25 annual report reported a 17% CAGR and more than a threefold increase in patient lives after loss of exclusivity, despite approximately 100 lower-priced generics. The deck forecasts Eliquis increasing from approximately INR1,880mn in FY26 to INR2,480mn in FY28E. The brand demonstrates that clinical familiarity and physician confidence can preserve value after molecule exclusivity, but the forecast still requires continued volume growth because generic competition limits price.</w:t>
      </w:r>
      <w:r>
        <w:rPr>
          <w:color w:val="4A4A4A"/>
          <w:sz w:val="15"/>
          <w:vertAlign w:val="superscript"/>
        </w:rPr>
        <w:t xml:space="preserve"> [1, 3]</w:t>
      </w:r>
    </w:p>
    <w:p>
      <w:r>
        <w:t>Nurtec is earlier in its commercial development. Rimegepant gives Pfizer an oral CGRP therapy for migraine and expands the listed company into neurology. The revenue funnel depends on diagnosed migraine patients, specialist awareness, treatment eligibility, price and repeat use across attacks or preventive dosing. We forecast sales rising from approximately INR80mn in FY26 to INR200mn in FY28E. The growth rate is high because the starting base is small; Nurtec contributes only INR120mn to the two-year revenue bridge and should not be presented as a company-level earnings driver yet.</w:t>
      </w:r>
      <w:r>
        <w:rPr>
          <w:color w:val="4A4A4A"/>
          <w:sz w:val="15"/>
          <w:vertAlign w:val="superscript"/>
        </w:rPr>
        <w:t xml:space="preserve"> [1, 2, 13]</w:t>
      </w:r>
    </w:p>
    <w:tbl>
      <w:tblPr>
        <w:tblW w:type="auto" w:w="0"/>
        <w:jc w:val="center"/>
        <w:tblLayout w:type="autofit"/>
        <w:tblLook w:firstColumn="1" w:firstRow="1" w:lastColumn="0" w:lastRow="0" w:noHBand="0" w:noVBand="1" w:val="04A0"/>
      </w:tblPr>
      <w:tblGrid>
        <w:gridCol w:w="9994"/>
      </w:tblGrid>
      <w:tr>
        <w:trPr>
          <w:cantSplit/>
        </w:trPr>
        <w:tc>
          <w:tcPr>
            <w:tcW w:type="dxa" w:w="9994"/>
            <w:shd w:fill="EAF5F8"/>
            <w:tcMar>
              <w:top w:w="100" w:type="dxa"/>
              <w:start w:w="130" w:type="dxa"/>
              <w:bottom w:w="100" w:type="dxa"/>
              <w:end w:w="130" w:type="dxa"/>
            </w:tcMar>
          </w:tcPr>
          <w:p>
            <w:pPr>
              <w:keepLines/>
              <w:spacing w:after="0"/>
            </w:pPr>
            <w:r>
              <w:rPr>
                <w:rFonts w:ascii="Arial" w:hAnsi="Arial"/>
                <w:b/>
                <w:color w:val="087D9C"/>
                <w:sz w:val="17"/>
              </w:rPr>
              <w:t xml:space="preserve">EXHIBIT PLACEMENT  </w:t>
            </w:r>
            <w:r>
              <w:rPr>
                <w:rFonts w:ascii="Arial" w:hAnsi="Arial"/>
                <w:i/>
                <w:sz w:val="17"/>
              </w:rPr>
              <w:t>Insert Exhibit 5 here. Use slide 37, but revise the presentation. Keep hospital anti-infectives, vaccines, gastrointestinal, cardiac and vitamins as listed categories. Move immuno-oncology to a clearly shaded upside scenario and label it as dependent on a future licence or transfer to Pfizer Limited. Title: Hospital anti-infectives and vaccines already lead listed growth; oncology remains contingent upside. Caption: The existing listed portfolio outgrows IPM in hospitals and vaccines, while vitamins and cardiac remain drags. Immuno-oncology should not enter the base case until Pfizer Limited receives disclosed commercial rights. Source: IQVIA MAT March 2026; Pfizer Limited FY2025-26 annual report; supplied forecasts; Bernstein estimates and analysis.</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EAF5F8"/>
            <w:tcMar>
              <w:top w:w="100" w:type="dxa"/>
              <w:start w:w="130" w:type="dxa"/>
              <w:bottom w:w="100" w:type="dxa"/>
              <w:end w:w="130" w:type="dxa"/>
            </w:tcMar>
          </w:tcPr>
          <w:p>
            <w:pPr>
              <w:keepLines/>
              <w:spacing w:after="0"/>
            </w:pPr>
            <w:r>
              <w:rPr>
                <w:rFonts w:ascii="Arial" w:hAnsi="Arial"/>
                <w:b/>
                <w:color w:val="087D9C"/>
                <w:sz w:val="17"/>
              </w:rPr>
              <w:t xml:space="preserve">EXHIBIT PLACEMENT  </w:t>
            </w:r>
            <w:r>
              <w:rPr>
                <w:rFonts w:ascii="Arial" w:hAnsi="Arial"/>
                <w:i/>
                <w:sz w:val="17"/>
              </w:rPr>
              <w:t>Insert Exhibit 6 here. Use both panels from slide 38. Title: Prevenar 20 and Emblaveo provide the largest new-product contributions to Pfizer Limited's growth. Caption: Established vaccine and hospital brands provide prescriber access, while adult pneumococcal vaccination and resistant-infection therapies drive the incremental revenue step-up. Adoption depends on adult-vaccination conversion, hospital protocols and antimicrobial stewardship. Source: Pfizer Limited FY2025-26 annual report; Pfizer Limited PCV20 launch filing dated 11 August 2025; company product disclosures; Bernstein estimates and analysis. Editorial check: reconcile the displayed FY26-FY30 anti-infective CAGR label with the chart endpoints before publication.</w:t>
            </w:r>
          </w:p>
        </w:tc>
      </w:tr>
    </w:tbl>
    <w:p>
      <w:pPr>
        <w:spacing w:after="0"/>
      </w:pPr>
    </w:p>
    <w:p>
      <w:r>
        <w:t>Oncology is strategically attractive but economically outside the listed base case. The private portfolio contains fast-growing immuno-oncology and rare-disease products. A future licence to Pfizer Limited could improve growth and mix, particularly if the listed company also manufactures locally. The current evidence does not establish the rights, timing or margin. We therefore treat oncology transfer as a scenario that could raise estimates, not as a reason to justify today's target price.</w:t>
      </w:r>
      <w:r>
        <w:rPr>
          <w:color w:val="4A4A4A"/>
          <w:sz w:val="15"/>
          <w:vertAlign w:val="superscript"/>
        </w:rPr>
        <w:t xml:space="preserve"> [1, 2]</w:t>
      </w:r>
    </w:p>
    <w:p>
      <w:r>
        <w:t>The GLP-1 question should be framed the same way. Pfizer Inc. discontinued development of oral danuglipron in April 2025 following a potential drug-induced liver injury in a dose-optimisation study. Pfizer Limited consequently has no visible GLP-1 launch in our forecast. This removes participation in one of the fastest-growing pharmaceutical categories, but it does not create a hole in the earnings model because no GLP-1 revenue was included. The absence should restrain the valuation multiple relative to companies with owned obesity franchises. It does not invalidate an Outperform call based on adult vaccines, hospital anti-infectives, Eliquis, Nurtec and margin expansion.</w:t>
      </w:r>
      <w:r>
        <w:rPr>
          <w:color w:val="4A4A4A"/>
          <w:sz w:val="15"/>
          <w:vertAlign w:val="superscript"/>
        </w:rPr>
        <w:t xml:space="preserve"> [11]</w:t>
      </w:r>
    </w:p>
    <w:p>
      <w:pPr>
        <w:pStyle w:val="Heading1"/>
      </w:pPr>
      <w:r>
        <w:t>Debate 4: Does the Minipress reset create a better earnings base or merely a smaller company?</w:t>
      </w:r>
    </w:p>
    <w:p>
      <w:r>
        <w:t>Minipress makes Pfizer Limited smaller in revenue terms. The one-time payment cannot replace recurring operating profit, and the INR12.5bn trademark value belongs to the parent entities that owned the intellectual property. The investment case becomes positive only if the remaining portfolio grows fast enough and if costs associated with mature brands are removed. Our model assumes both effects but gives no recurring value to the transaction payment.</w:t>
      </w:r>
      <w:r>
        <w:rPr>
          <w:color w:val="4A4A4A"/>
          <w:sz w:val="15"/>
          <w:vertAlign w:val="superscript"/>
        </w:rPr>
        <w:t xml:space="preserve"> [6, 7]</w:t>
      </w:r>
    </w:p>
    <w:p>
      <w:r>
        <w:t>The December 2025 Cipla agreement provides evidence that management is willing to change the commercial model of mature brands. Cipla received exclusive Indian marketing and distribution rights for Corex Dx, Corex LS, Dolonex and Neksium for five years, while Pfizer retained manufacturing, sourcing and supply. Pfizer Limited recorded INR417.3mn of personnel-separation costs in FY26 relating largely to the agreement and support functions. The accounting charge is immediate; the benefit appears later through a smaller field-force and marketing cost base. Revenue recognition and gross margin may change because Cipla performs the commercial work, so the relevant test is operating profit and cash flow rather than gross sales alone.</w:t>
      </w:r>
      <w:r>
        <w:rPr>
          <w:color w:val="4A4A4A"/>
          <w:sz w:val="15"/>
          <w:vertAlign w:val="superscript"/>
        </w:rPr>
        <w:t xml:space="preserve"> [4, 5]</w:t>
      </w:r>
    </w:p>
    <w:p>
      <w:r>
        <w:t>The supplied margin bridge adds approximately 110bp from cost savings and 150bp from operating leverage and product mix, taking EBITDA margin from roughly 35.9% in FY26 to 38.5% in FY29E. Applied to listed revenue of approximately INR25.2bn and INR32bn, this implies EBITDA increasing from about INR9.0bn to INR12.3bn, or approximately 10.8% CAGR. Revenue grows about 8.3% over the same period. The spread is the basis for faster earnings growth and is more important to the Outperform thesis than group-level specialty revenue that remains outside the company.</w:t>
      </w:r>
      <w:r>
        <w:rPr>
          <w:color w:val="4A4A4A"/>
          <w:sz w:val="15"/>
          <w:vertAlign w:val="superscript"/>
        </w:rPr>
        <w:t xml:space="preserve"> [1]</w:t>
      </w:r>
    </w:p>
    <w:tbl>
      <w:tblPr>
        <w:tblW w:type="auto" w:w="0"/>
        <w:jc w:val="center"/>
        <w:tblLayout w:type="autofit"/>
        <w:tblLook w:firstColumn="1" w:firstRow="1" w:lastColumn="0" w:lastRow="0" w:noHBand="0" w:noVBand="1" w:val="04A0"/>
      </w:tblPr>
      <w:tblGrid>
        <w:gridCol w:w="9994"/>
      </w:tblGrid>
      <w:tr>
        <w:trPr>
          <w:cantSplit/>
        </w:trPr>
        <w:tc>
          <w:tcPr>
            <w:tcW w:type="dxa" w:w="9994"/>
            <w:shd w:fill="EAF5F8"/>
            <w:tcMar>
              <w:top w:w="100" w:type="dxa"/>
              <w:start w:w="130" w:type="dxa"/>
              <w:bottom w:w="100" w:type="dxa"/>
              <w:end w:w="130" w:type="dxa"/>
            </w:tcMar>
          </w:tcPr>
          <w:p>
            <w:pPr>
              <w:keepLines/>
              <w:spacing w:after="0"/>
            </w:pPr>
            <w:r>
              <w:rPr>
                <w:rFonts w:ascii="Arial" w:hAnsi="Arial"/>
                <w:b/>
                <w:color w:val="087D9C"/>
                <w:sz w:val="17"/>
              </w:rPr>
              <w:t xml:space="preserve">EXHIBIT PLACEMENT  </w:t>
            </w:r>
            <w:r>
              <w:rPr>
                <w:rFonts w:ascii="Arial" w:hAnsi="Arial"/>
                <w:i/>
                <w:sz w:val="17"/>
              </w:rPr>
              <w:t>Insert Exhibit 7 here. Use slide 39 as two panels, but relabel the first panel to separate Pfizer Limited from private pharma and manufacturing services. Title: Listed revenue recovers while cost savings and mix lift EBITDA margin by approximately 260bp. Caption: Private pharma and manufacturing services add scale to Pfizer's India group but do not enter Pfizer Limited's earnings. Within the listed perimeter, cost savings and operating leverage take EBITDA from roughly INR9.0bn in FY26 to INR12.3bn in FY29E. Source: Pfizer Limited financial statements; supplied Pfizer India forecasts; Bernstein estimates and analysis.</w:t>
            </w:r>
          </w:p>
        </w:tc>
      </w:tr>
    </w:tbl>
    <w:p>
      <w:pPr>
        <w:spacing w:after="0"/>
      </w:pPr>
    </w:p>
    <w:p>
      <w:r>
        <w:t>The margin forecast has two principal risks. First, the company may retain stranded field-force, manufacturing or support costs after Minipress and the Cipla transition. Second, launches can require more medical education, institutional access and patient support than our model assumes. A lower gross margin on partnered or supplied products could also absorb part of the cost benefit. Quarterly gross margin, employee cost, other operating expense and launch sales should therefore be evaluated together rather than in isolation.</w:t>
      </w:r>
    </w:p>
    <w:p>
      <w:pPr>
        <w:pStyle w:val="Heading1"/>
      </w:pPr>
      <w:r>
        <w:t>Valuation, catalysts and risks</w:t>
      </w:r>
    </w:p>
    <w:p>
      <w:r>
        <w:t>We value Pfizer Limited at 22x FY28E EPS of INR195.4, which produces a target price of INR4,298. The multiple recognises the quality of the balance sheet, established brands, adult-vaccine leadership and hospital access. It also reflects the loss of Minipress, the absence of a listed GLP-1 franchise, uncertainty over private-to-listed product transfers and execution risk around the margin bridge. The reference price in the supplied analysis is approximately INR3,612, leaving about 19% upside.</w:t>
      </w:r>
      <w:r>
        <w:rPr>
          <w:color w:val="4A4A4A"/>
          <w:sz w:val="15"/>
          <w:vertAlign w:val="superscript"/>
        </w:rPr>
        <w:t xml:space="preserve"> [1]</w:t>
      </w:r>
    </w:p>
    <w:tbl>
      <w:tblPr>
        <w:tblW w:type="auto" w:w="0"/>
        <w:jc w:val="center"/>
        <w:tblLayout w:type="autofit"/>
        <w:tblLook w:firstColumn="1" w:firstRow="1" w:lastColumn="0" w:lastRow="0" w:noHBand="0" w:noVBand="1" w:val="04A0"/>
      </w:tblPr>
      <w:tblGrid>
        <w:gridCol w:w="9994"/>
      </w:tblGrid>
      <w:tr>
        <w:trPr>
          <w:cantSplit/>
        </w:trPr>
        <w:tc>
          <w:tcPr>
            <w:tcW w:type="dxa" w:w="9994"/>
            <w:shd w:fill="EAF5F8"/>
            <w:tcMar>
              <w:top w:w="100" w:type="dxa"/>
              <w:start w:w="130" w:type="dxa"/>
              <w:bottom w:w="100" w:type="dxa"/>
              <w:end w:w="130" w:type="dxa"/>
            </w:tcMar>
          </w:tcPr>
          <w:p>
            <w:pPr>
              <w:keepLines/>
              <w:spacing w:after="0"/>
            </w:pPr>
            <w:r>
              <w:rPr>
                <w:rFonts w:ascii="Arial" w:hAnsi="Arial"/>
                <w:b/>
                <w:color w:val="087D9C"/>
                <w:sz w:val="17"/>
              </w:rPr>
              <w:t xml:space="preserve">EXHIBIT PLACEMENT  </w:t>
            </w:r>
            <w:r>
              <w:rPr>
                <w:rFonts w:ascii="Arial" w:hAnsi="Arial"/>
                <w:i/>
                <w:sz w:val="17"/>
              </w:rPr>
              <w:t>Insert Exhibit 8 here. Create a simple valuation table with FY28E EPS of INR195.4, target P/E of 22x, target price of INR4,298, reference price of approximately INR3,612 and upside of approximately 19%. Title: The valuation uses post-Minipress earnings and assigns no value to private oncology or GLP-1. Caption: A 22x multiple rewards the visible listed launch cycle and margin recovery while retaining a discount for portfolio-perimeter and execution risk. Source: Bernstein estimates and analysis; reference price from the supplied Pfizer Limited analysis.</w:t>
            </w:r>
          </w:p>
        </w:tc>
      </w:tr>
    </w:tbl>
    <w:p>
      <w:pPr>
        <w:spacing w:after="0"/>
      </w:pPr>
    </w:p>
    <w:p>
      <w:r>
        <w:t>The near-term catalysts are measurable. Prevenar 20 needs to continue adding adult patients after its initial launch; Emblaveo must win protocol-based hospital use; Eliquis should sustain volume growth after loss of exclusivity; and the Cipla arrangement needs to lower commercial costs without weakening supply revenue. Appointment of a permanent finance leader would reduce governance uncertainty. Any disclosed oncology or rare-disease licence to Pfizer Limited would represent upside if the transfer economics are fair.</w:t>
      </w:r>
    </w:p>
    <w:p>
      <w:r>
        <w:t>The main downside risk is a timing mismatch in the Minipress replacement. The lost brand exits at once, while adult vaccination and hospital launches build over several quarters. Other risks include slower adult-vaccine adoption, stewardship-limited use of newer antibiotics, generic erosion in Eliquis, weak repeat use of Nurtec, stranded costs after commercial restructuring and unfavourable related-party allocation of future products. An oncology transfer could also destroy value if the listed company pays too much or retains too little margin.</w:t>
      </w:r>
    </w:p>
    <w:p>
      <w:r>
        <w:t>Our Outperform conclusion does not require Pfizer Limited to become the listed home for every Pfizer asset in India. It requires the company to replace Minipress with products it already owns, convert portfolio pruning into recurring cost savings and keep the economics of new launches inside the listed entity. The named FY26-FY28E growth engines provide approximately 1.4x the revenue needed to replace Minipress, while the FY29E margin bridge adds roughly 260bp. At 22x post-reset FY28E earnings, that combination supports the target price and leaves private oncology or future metabolic products as additional upside rather than hidden assumptions.</w:t>
      </w:r>
      <w:r>
        <w:rPr>
          <w:color w:val="4A4A4A"/>
          <w:sz w:val="15"/>
          <w:vertAlign w:val="superscript"/>
        </w:rPr>
        <w:t xml:space="preserve"> [1, 6, 7]</w:t>
      </w:r>
    </w:p>
    <w:p>
      <w:pPr>
        <w:pStyle w:val="Heading1"/>
      </w:pPr>
      <w:r>
        <w:t>Exhibit order and production notes</w:t>
      </w:r>
    </w:p>
    <w:p>
      <w:pPr>
        <w:ind w:left="259" w:hanging="259"/>
      </w:pPr>
      <w:r>
        <w:rPr>
          <w:b/>
        </w:rPr>
        <w:t xml:space="preserve">1. </w:t>
      </w:r>
      <w:r>
        <w:t>Listed versus private portfolio map, after the company overview.</w:t>
      </w:r>
    </w:p>
    <w:p>
      <w:pPr>
        <w:ind w:left="259" w:hanging="259"/>
      </w:pPr>
      <w:r>
        <w:rPr>
          <w:b/>
        </w:rPr>
        <w:t xml:space="preserve">2. </w:t>
      </w:r>
      <w:r>
        <w:t>Quarterly medicines versus services, after the first-principles revenue discussion in Debate 1.</w:t>
      </w:r>
    </w:p>
    <w:p>
      <w:pPr>
        <w:ind w:left="259" w:hanging="259"/>
      </w:pPr>
      <w:r>
        <w:rPr>
          <w:b/>
        </w:rPr>
        <w:t xml:space="preserve">3. </w:t>
      </w:r>
      <w:r>
        <w:t>New Minipress replacement waterfall, after the product-level replacement calculation in Debate 1.</w:t>
      </w:r>
    </w:p>
    <w:p>
      <w:pPr>
        <w:ind w:left="259" w:hanging="259"/>
      </w:pPr>
      <w:r>
        <w:rPr>
          <w:b/>
        </w:rPr>
        <w:t xml:space="preserve">4. </w:t>
      </w:r>
      <w:r>
        <w:t>New management and execution timeline, at the end of Debate 2.</w:t>
      </w:r>
    </w:p>
    <w:p>
      <w:pPr>
        <w:ind w:left="259" w:hanging="259"/>
      </w:pPr>
      <w:r>
        <w:rPr>
          <w:b/>
        </w:rPr>
        <w:t xml:space="preserve">5. </w:t>
      </w:r>
      <w:r>
        <w:t>Therapy growth versus IPM, after the product-level launch assessment in Debate 3. Move immuno-oncology into a contingent-upside treatment.</w:t>
      </w:r>
    </w:p>
    <w:p>
      <w:pPr>
        <w:ind w:left="259" w:hanging="259"/>
      </w:pPr>
      <w:r>
        <w:rPr>
          <w:b/>
        </w:rPr>
        <w:t xml:space="preserve">6. </w:t>
      </w:r>
      <w:r>
        <w:t>Vaccine and hospital anti-infective forecasts, immediately after Exhibit 5.</w:t>
      </w:r>
    </w:p>
    <w:p>
      <w:pPr>
        <w:ind w:left="259" w:hanging="259"/>
      </w:pPr>
      <w:r>
        <w:rPr>
          <w:b/>
        </w:rPr>
        <w:t xml:space="preserve">7. </w:t>
      </w:r>
      <w:r>
        <w:t>Listed-versus-group revenue and EBITDA margin bridge, after the margin calculation in Debate 4.</w:t>
      </w:r>
    </w:p>
    <w:p>
      <w:pPr>
        <w:ind w:left="259" w:hanging="259"/>
      </w:pPr>
      <w:r>
        <w:rPr>
          <w:b/>
        </w:rPr>
        <w:t xml:space="preserve">8. </w:t>
      </w:r>
      <w:r>
        <w:t>Valuation table, after the opening valuation paragraph.</w:t>
      </w:r>
    </w:p>
    <w:p>
      <w:r>
        <w:t>Do not use the Pfizer group versus IPM monthly growth chart from slide 36 in the core report. If retained, place it in the appendix with this caption: "Pfizer group's monthly growth has become volatile and is not a proxy for Pfizer Limited's earnings; recurring listed sales from Prevenar 20, Emblaveo and Nurtec remain the relevant test." Source: IQVIA; company reports; Bernstein analysis.</w:t>
      </w:r>
    </w:p>
    <w:p>
      <w:pPr>
        <w:pStyle w:val="Heading1"/>
        <w:pageBreakBefore/>
      </w:pPr>
      <w:r>
        <w:t>References</w:t>
      </w:r>
    </w:p>
    <w:p>
      <w:pPr>
        <w:spacing w:after="200"/>
      </w:pPr>
      <w:r>
        <w:t>Forecasts and valuation are drawn from the supplied Pfizer Limited analysis. Corporate, product and transaction facts are supported by the primary disclosures below. All calculations in the report are Bernstein analysis based on those inputs.</w:t>
      </w:r>
    </w:p>
    <w:p>
      <w:pPr>
        <w:spacing w:after="120"/>
      </w:pPr>
      <w:r>
        <w:rPr>
          <w:b/>
          <w:sz w:val="19"/>
        </w:rPr>
        <w:t xml:space="preserve">[1] </w:t>
      </w:r>
      <w:r>
        <w:rPr>
          <w:i/>
          <w:sz w:val="19"/>
        </w:rPr>
        <w:t>Supplied Pfizer Limited analysis, slides 33-39</w:t>
      </w:r>
      <w:r>
        <w:rPr>
          <w:sz w:val="19"/>
        </w:rPr>
        <w:t>. Forecasts, entity map, therapy growth, product revenue bridges, EBITDA margin bridge and valuation.</w:t>
      </w:r>
    </w:p>
    <w:p>
      <w:pPr>
        <w:spacing w:after="120"/>
      </w:pPr>
      <w:r>
        <w:rPr>
          <w:b/>
          <w:sz w:val="19"/>
        </w:rPr>
        <w:t xml:space="preserve">[2] </w:t>
      </w:r>
      <w:hyperlink r:id="rId11">
        <w:r>
          <w:rPr>
            <w:color w:val="000000"/>
            <w:u w:val="single"/>
            <w:sz w:val="19"/>
          </w:rPr>
          <w:t>Pfizer Limited Annual Report FY2025-26</w:t>
        </w:r>
      </w:hyperlink>
      <w:r>
        <w:rPr>
          <w:sz w:val="19"/>
        </w:rPr>
        <w:t>. FY26 financials, product performance, PCV20 adoption, hospital portfolio, leadership and strategy.</w:t>
      </w:r>
    </w:p>
    <w:p>
      <w:pPr>
        <w:spacing w:after="120"/>
      </w:pPr>
      <w:r>
        <w:rPr>
          <w:b/>
          <w:sz w:val="19"/>
        </w:rPr>
        <w:t xml:space="preserve">[3] </w:t>
      </w:r>
      <w:hyperlink r:id="rId12">
        <w:r>
          <w:rPr>
            <w:color w:val="000000"/>
            <w:u w:val="single"/>
            <w:sz w:val="19"/>
          </w:rPr>
          <w:t>Pfizer Limited Annual Report FY2024-25</w:t>
        </w:r>
      </w:hyperlink>
      <w:r>
        <w:rPr>
          <w:sz w:val="19"/>
        </w:rPr>
        <w:t>. Eliquis post-LOE performance, hospital portfolio, internal promotions and business-unit leadership transitions.</w:t>
      </w:r>
    </w:p>
    <w:p>
      <w:pPr>
        <w:spacing w:after="120"/>
      </w:pPr>
      <w:r>
        <w:rPr>
          <w:b/>
          <w:sz w:val="19"/>
        </w:rPr>
        <w:t xml:space="preserve">[4] </w:t>
      </w:r>
      <w:hyperlink r:id="rId13">
        <w:r>
          <w:rPr>
            <w:color w:val="000000"/>
            <w:u w:val="single"/>
            <w:sz w:val="19"/>
          </w:rPr>
          <w:t>Pfizer Limited Q1FY27 financial results</w:t>
        </w:r>
      </w:hyperlink>
      <w:r>
        <w:rPr>
          <w:sz w:val="19"/>
        </w:rPr>
        <w:t>. June 2026 quarterly revenue and profit; FY26 revenue, separation costs and legal-entity disclosures.</w:t>
      </w:r>
    </w:p>
    <w:p>
      <w:pPr>
        <w:spacing w:after="120"/>
      </w:pPr>
      <w:r>
        <w:rPr>
          <w:b/>
          <w:sz w:val="19"/>
        </w:rPr>
        <w:t xml:space="preserve">[5] </w:t>
      </w:r>
      <w:hyperlink r:id="rId14">
        <w:r>
          <w:rPr>
            <w:color w:val="000000"/>
            <w:u w:val="single"/>
            <w:sz w:val="19"/>
          </w:rPr>
          <w:t>Pfizer and Cipla marketing and distribution agreement</w:t>
        </w:r>
      </w:hyperlink>
      <w:r>
        <w:rPr>
          <w:sz w:val="19"/>
        </w:rPr>
        <w:t>. Five-year commercial arrangement and division of marketing, distribution and supply responsibilities.</w:t>
      </w:r>
    </w:p>
    <w:p>
      <w:pPr>
        <w:spacing w:after="120"/>
      </w:pPr>
      <w:r>
        <w:rPr>
          <w:b/>
          <w:sz w:val="19"/>
        </w:rPr>
        <w:t xml:space="preserve">[6] </w:t>
      </w:r>
      <w:hyperlink r:id="rId15">
        <w:r>
          <w:rPr>
            <w:color w:val="000000"/>
            <w:u w:val="single"/>
            <w:sz w:val="19"/>
          </w:rPr>
          <w:t>Pfizer Limited Minipress XL discontinuation filing</w:t>
        </w:r>
      </w:hyperlink>
      <w:r>
        <w:rPr>
          <w:sz w:val="19"/>
        </w:rPr>
        <w:t>. Effective date and USD13.9mn payment to Pfizer Limited.</w:t>
      </w:r>
    </w:p>
    <w:p>
      <w:pPr>
        <w:spacing w:after="120"/>
      </w:pPr>
      <w:r>
        <w:rPr>
          <w:b/>
          <w:sz w:val="19"/>
        </w:rPr>
        <w:t xml:space="preserve">[7] </w:t>
      </w:r>
      <w:hyperlink r:id="rId16">
        <w:r>
          <w:rPr>
            <w:color w:val="000000"/>
            <w:u w:val="single"/>
            <w:sz w:val="19"/>
          </w:rPr>
          <w:t>Novartis India acquisition of Minipress and Minipres trademarks</w:t>
        </w:r>
      </w:hyperlink>
      <w:r>
        <w:rPr>
          <w:sz w:val="19"/>
        </w:rPr>
        <w:t>. INR12.5bn parent-level consideration and IQVIA MAT July 2026 brand sales.</w:t>
      </w:r>
    </w:p>
    <w:p>
      <w:pPr>
        <w:spacing w:after="120"/>
      </w:pPr>
      <w:r>
        <w:rPr>
          <w:b/>
          <w:sz w:val="19"/>
        </w:rPr>
        <w:t xml:space="preserve">[8] </w:t>
      </w:r>
      <w:hyperlink r:id="rId17">
        <w:r>
          <w:rPr>
            <w:color w:val="000000"/>
            <w:u w:val="single"/>
            <w:sz w:val="19"/>
          </w:rPr>
          <w:t>Meenakshi Nevatia profile</w:t>
        </w:r>
      </w:hyperlink>
      <w:r>
        <w:rPr>
          <w:sz w:val="19"/>
        </w:rPr>
        <w:t>. Managing Director appointment date and operating background.</w:t>
      </w:r>
    </w:p>
    <w:p>
      <w:pPr>
        <w:spacing w:after="120"/>
      </w:pPr>
      <w:r>
        <w:rPr>
          <w:b/>
          <w:sz w:val="19"/>
        </w:rPr>
        <w:t xml:space="preserve">[9] </w:t>
      </w:r>
      <w:hyperlink r:id="rId18">
        <w:r>
          <w:rPr>
            <w:color w:val="000000"/>
            <w:u w:val="single"/>
            <w:sz w:val="19"/>
          </w:rPr>
          <w:t>Pfizer Limited PCV20 launch filing</w:t>
        </w:r>
      </w:hyperlink>
      <w:r>
        <w:rPr>
          <w:sz w:val="19"/>
        </w:rPr>
        <w:t>. Adult launch date, single-shot regimen and product scope.</w:t>
      </w:r>
    </w:p>
    <w:p>
      <w:pPr>
        <w:spacing w:after="120"/>
      </w:pPr>
      <w:r>
        <w:rPr>
          <w:b/>
          <w:sz w:val="19"/>
        </w:rPr>
        <w:t xml:space="preserve">[10] </w:t>
      </w:r>
      <w:hyperlink r:id="rId19">
        <w:r>
          <w:rPr>
            <w:color w:val="000000"/>
            <w:u w:val="single"/>
            <w:sz w:val="19"/>
          </w:rPr>
          <w:t>Pfizer Limited CFO resignation filing</w:t>
        </w:r>
      </w:hyperlink>
      <w:r>
        <w:rPr>
          <w:sz w:val="19"/>
        </w:rPr>
        <w:t>. CFO and executive-director departure effective 8 October 2026.</w:t>
      </w:r>
    </w:p>
    <w:p>
      <w:pPr>
        <w:spacing w:after="120"/>
      </w:pPr>
      <w:r>
        <w:rPr>
          <w:b/>
          <w:sz w:val="19"/>
        </w:rPr>
        <w:t xml:space="preserve">[11] </w:t>
      </w:r>
      <w:hyperlink r:id="rId20">
        <w:r>
          <w:rPr>
            <w:color w:val="000000"/>
            <w:u w:val="single"/>
            <w:sz w:val="19"/>
          </w:rPr>
          <w:t>Pfizer update on oral GLP-1 danuglipron</w:t>
        </w:r>
      </w:hyperlink>
      <w:r>
        <w:rPr>
          <w:sz w:val="19"/>
        </w:rPr>
        <w:t>. April 2025 discontinuation of the development programme.</w:t>
      </w:r>
    </w:p>
    <w:p>
      <w:pPr>
        <w:spacing w:after="120"/>
      </w:pPr>
      <w:r>
        <w:rPr>
          <w:b/>
          <w:sz w:val="19"/>
        </w:rPr>
        <w:t xml:space="preserve">[12] </w:t>
      </w:r>
      <w:hyperlink r:id="rId21">
        <w:r>
          <w:rPr>
            <w:color w:val="000000"/>
            <w:u w:val="single"/>
            <w:sz w:val="19"/>
          </w:rPr>
          <w:t>About Pfizer Limited</w:t>
        </w:r>
      </w:hyperlink>
      <w:r>
        <w:rPr>
          <w:sz w:val="19"/>
        </w:rPr>
        <w:t>. Listed-company history, portfolio breadth and Goa manufacturing footprint.</w:t>
      </w:r>
    </w:p>
    <w:p>
      <w:pPr>
        <w:spacing w:after="120"/>
      </w:pPr>
      <w:r>
        <w:rPr>
          <w:b/>
          <w:sz w:val="19"/>
        </w:rPr>
        <w:t xml:space="preserve">[13] </w:t>
      </w:r>
      <w:hyperlink r:id="rId22">
        <w:r>
          <w:rPr>
            <w:color w:val="000000"/>
            <w:u w:val="single"/>
            <w:sz w:val="19"/>
          </w:rPr>
          <w:t>Pfizer and Biohaven rimegepant collaboration</w:t>
        </w:r>
      </w:hyperlink>
      <w:r>
        <w:rPr>
          <w:sz w:val="19"/>
        </w:rPr>
        <w:t>. Ex-US commercial rights and migraine product background.</w:t>
      </w:r>
    </w:p>
    <w:sectPr w:rsidR="00FC693F" w:rsidRPr="0006063C" w:rsidSect="00034616">
      <w:headerReference w:type="default" r:id="rId9"/>
      <w:footerReference w:type="default" r:id="rId10"/>
      <w:pgSz w:w="12240" w:h="15840"/>
      <w:pgMar w:top="1008"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INDUSTRY  |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087D9C"/>
        <w:sz w:val="16"/>
      </w:rPr>
      <w:t>INDIA HEALTHCARE  |  PFIZER LIMITED  |  OUTPERFORM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3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fizerltd.co.in/files/Pfizer_Limited_-_Annual_Report_FY_2026.pdf" TargetMode="External"/><Relationship Id="rId12" Type="http://schemas.openxmlformats.org/officeDocument/2006/relationships/hyperlink" Target="https://www.pfizerltd.co.in/files/Pfizer-Limited-Annual-Report-FY-2024-25.pdf" TargetMode="External"/><Relationship Id="rId13" Type="http://schemas.openxmlformats.org/officeDocument/2006/relationships/hyperlink" Target="https://www.pfizerltd.co.in/files/Stock_Exchange_Intimation_-Outcome_of_the_Board_Meeting_28072026_final.pdf" TargetMode="External"/><Relationship Id="rId14" Type="http://schemas.openxmlformats.org/officeDocument/2006/relationships/hyperlink" Target="https://www.pfizerltd.co.in/files/Pfizer-India-Cipla-Partnership-19122025.pdf" TargetMode="External"/><Relationship Id="rId15" Type="http://schemas.openxmlformats.org/officeDocument/2006/relationships/hyperlink" Target="https://www.pfizerltd.co.in/files/Stock_Exchange_Intimation_-_Outcome_of_the_Board_Meeting_07092026.pdf" TargetMode="External"/><Relationship Id="rId16" Type="http://schemas.openxmlformats.org/officeDocument/2006/relationships/hyperlink" Target="https://www.business-standard.com/companies/news/novartis-india-buys-minipress-brands-from-pfizer-for-1-250-crore-126090700955_1.html" TargetMode="External"/><Relationship Id="rId17" Type="http://schemas.openxmlformats.org/officeDocument/2006/relationships/hyperlink" Target="https://www.pfizerltd.co.in/our-people/board-of-directors/meenakshi-nevatia" TargetMode="External"/><Relationship Id="rId18" Type="http://schemas.openxmlformats.org/officeDocument/2006/relationships/hyperlink" Target="https://www.pfizerltd.co.in/files/Draft-Stock-Exchange-Intimation-Regulation-30-2.pdf" TargetMode="External"/><Relationship Id="rId19" Type="http://schemas.openxmlformats.org/officeDocument/2006/relationships/hyperlink" Target="https://www.pfizerltd.co.in/files/Stock_Exchange_Intimation_-_Resignation_of_Amit_Agarwal.pdf" TargetMode="External"/><Relationship Id="rId20" Type="http://schemas.openxmlformats.org/officeDocument/2006/relationships/hyperlink" Target="https://www.pfizer.com/news/press-release/press-release-detail/pfizer-provides-update-oral-glp-1-receptor-agonist" TargetMode="External"/><Relationship Id="rId21" Type="http://schemas.openxmlformats.org/officeDocument/2006/relationships/hyperlink" Target="https://www.pfizerltd.co.in/about-pfizer/about-pfizer-ltd" TargetMode="External"/><Relationship Id="rId22" Type="http://schemas.openxmlformats.org/officeDocument/2006/relationships/hyperlink" Target="https://www.pfizer.com/news/press-release/press-release-detail/biohaven-and-pfizer-enter-strategic-collabo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Pfizer Limited Company Analysis</dc:title>
  <dc:subject>Company overview, four investment debates, exhibits and Outperform valuation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