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GSK Pfizer and Abbott initiation summary</w:t>
      </w:r>
    </w:p>
    <w:p>
      <w:pPr>
        <w:pStyle w:val="Heading1"/>
      </w:pPr>
      <w:r>
        <w:t>GSK India</w:t>
      </w:r>
    </w:p>
    <w:p>
      <w:r>
        <w:rPr>
          <w:b/>
        </w:rPr>
        <w:t>Outperform</w:t>
      </w:r>
    </w:p>
    <w:p>
      <w:r>
        <w:t>Revenue and earnings growth pivots on</w:t>
      </w:r>
    </w:p>
    <w:p>
      <w:pPr>
        <w:ind w:left="331" w:hanging="331"/>
      </w:pPr>
      <w:r>
        <w:t xml:space="preserve">(a) </w:t>
      </w:r>
      <w:r>
        <w:t>Adult vaccines and specialty respiratory scale, led by Shingrix, Arexvy, Trelegy and Nucala adoption.</w:t>
      </w:r>
    </w:p>
    <w:p>
      <w:pPr>
        <w:ind w:left="331" w:hanging="331"/>
      </w:pPr>
      <w:r>
        <w:t xml:space="preserve">(b) </w:t>
      </w:r>
      <w:r>
        <w:t>Oncology reaches ~₹3,820 Mn by FY28; improving mix supports ~15%/~16% FY26–28 revenue/EPS CAGR.</w:t>
      </w:r>
    </w:p>
    <w:p>
      <w:pPr>
        <w:pStyle w:val="Heading1"/>
      </w:pPr>
      <w:r>
        <w:t>Pfizer Limited</w:t>
      </w:r>
    </w:p>
    <w:p>
      <w:r>
        <w:rPr>
          <w:b/>
        </w:rPr>
        <w:t>Outperform: 19% upside potential</w:t>
      </w:r>
    </w:p>
    <w:p>
      <w:r>
        <w:t>Three drivers of earnings acceleration</w:t>
      </w:r>
    </w:p>
    <w:p>
      <w:pPr>
        <w:ind w:left="331" w:hanging="331"/>
      </w:pPr>
      <w:r>
        <w:t xml:space="preserve">(i) </w:t>
      </w:r>
      <w:r>
        <w:t>Prevenar 20 drives ~11% vaccine revenue CAGR over FY26–28.</w:t>
      </w:r>
    </w:p>
    <w:p>
      <w:pPr>
        <w:ind w:left="331" w:hanging="331"/>
      </w:pPr>
      <w:r>
        <w:t xml:space="preserve">(ii) </w:t>
      </w:r>
      <w:r>
        <w:t>Hospital anti-infectives grow ~11% CAGR, led by Magnex, Zavicefta and Emblaveo.</w:t>
      </w:r>
    </w:p>
    <w:p>
      <w:pPr>
        <w:ind w:left="331" w:hanging="331"/>
      </w:pPr>
      <w:r>
        <w:t xml:space="preserve">(iii) </w:t>
      </w:r>
      <w:r>
        <w:t>Eliquis and Nurtec expand; operating leverage supports ~8.5% FY26–28 core EPS CAGR.</w:t>
      </w:r>
    </w:p>
    <w:p>
      <w:pPr>
        <w:pStyle w:val="Heading1"/>
      </w:pPr>
      <w:r>
        <w:t>Abbott India</w:t>
      </w:r>
    </w:p>
    <w:p>
      <w:r>
        <w:rPr>
          <w:b/>
        </w:rPr>
        <w:t>Market Perform: 3% downside potential</w:t>
      </w:r>
    </w:p>
    <w:p>
      <w:pPr>
        <w:ind w:left="331" w:hanging="331"/>
      </w:pPr>
      <w:r>
        <w:t xml:space="preserve">• </w:t>
      </w:r>
      <w:r>
        <w:t>Legacy brands drive ~9.6% FY26–28 sales CAGR; limited new-molecule contribution beyond Extensior constrains growth acceleration.</w:t>
      </w:r>
    </w:p>
    <w:p>
      <w:pPr>
        <w:ind w:left="331" w:hanging="331"/>
      </w:pPr>
      <w:r>
        <w:t xml:space="preserve">• </w:t>
      </w:r>
      <w:r>
        <w:t>Cheaper dydrogesterone brands and Mankind’s BSV portfolio intensify women’s-health competition; margin pressure limits EPS CAGR to ~8.3%, leaving little scope for valuation expansion despite established brand equity.</w:t>
      </w:r>
    </w:p>
    <w:p>
      <w:pPr>
        <w:spacing w:before="300"/>
      </w:pPr>
      <w:r>
        <w:rPr>
          <w:sz w:val="16"/>
        </w:rPr>
        <w:t>Forecasts are analyst estimates. All growth rates are FY26–28E CAGR. GSK figures follow GSK India Initiation Cover Copy; Pfizer figures follow PFZ_Rev.xlsx and the Pfizer initiation copy; Abbott figures follow the Abbott initiation copy.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1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GSK Pfizer and Abbott initiation summary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