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16D09" w:rsidRDefault="00B16D09" w:rsidP="00B16D09">
      <w:pPr>
        <w:pStyle w:val="pdq2pgselectionanchorcontainer"/>
      </w:pPr>
      <w:r>
        <w:t>Subject: Insulin market and LMIC supply risk</w:t>
      </w:r>
    </w:p>
    <w:p w:rsidR="00B16D09" w:rsidRDefault="00B16D09" w:rsidP="00B16D09">
      <w:pPr>
        <w:pStyle w:val="NormalWeb"/>
      </w:pPr>
      <w:r>
        <w:t>Hi Priyanka,</w:t>
      </w:r>
    </w:p>
    <w:p w:rsidR="00B16D09" w:rsidRDefault="00B16D09" w:rsidP="00B16D09">
      <w:pPr>
        <w:pStyle w:val="NormalWeb"/>
      </w:pPr>
      <w:r>
        <w:t>Thanks, this is a fair question. Our view is that GLP-1 uptake should pressure insulin volume growth over time, but it is unlikely to create a structural insulin supply gap in LMICs.</w:t>
      </w:r>
    </w:p>
    <w:p w:rsidR="00B16D09" w:rsidRDefault="00B16D09" w:rsidP="00B16D09">
      <w:pPr>
        <w:pStyle w:val="NormalWeb"/>
      </w:pPr>
      <w:r>
        <w:t xml:space="preserve">There are three reasons for this. First, we do not expect large originators to fully vacate insulin. Novo continues to invest behind insulin innovation, including once-weekly insulin, while Sanofi also appears to be reassessing the earlier view that insulin is purely a structurally lower-margin, </w:t>
      </w:r>
      <w:proofErr w:type="spellStart"/>
      <w:r>
        <w:t>deprioritised</w:t>
      </w:r>
      <w:proofErr w:type="spellEnd"/>
      <w:r>
        <w:t xml:space="preserve"> franchise. Second, even if global innovator </w:t>
      </w:r>
      <w:proofErr w:type="gramStart"/>
      <w:r>
        <w:t>focus</w:t>
      </w:r>
      <w:proofErr w:type="gramEnd"/>
      <w:r>
        <w:t xml:space="preserve"> shifts more toward GLP-1s, Indian, Chinese and regional insulin/biosimilar players should step in to serve the lower-cost volume opportunity, limiting any sustained supply vacuum. Third, while LMIC insulin demand remains resilient today, we do not think it will grow unconstrained. As GLP-1 access improves, our analysis suggests insulin initiation can be pushed out by 3–4 years for a meaningful pool of type 2 diabetes patients. We also expect GLP-1 penetration in LMICs to be meaningfully better than what sitagliptin saw historically, given stronger efficacy and broader clinical relevance.</w:t>
      </w:r>
    </w:p>
    <w:p w:rsidR="00B16D09" w:rsidRDefault="00B16D09" w:rsidP="00B16D09">
      <w:pPr>
        <w:pStyle w:val="NormalWeb"/>
      </w:pPr>
      <w:r>
        <w:t>So, net-net, we would frame this less as a risk of insulin shortage and more as a muted insulin growth thesis: originators may shift strategic focus, low-cost players fill the access gap, and GLP-1 adoption gradually delays insulin use in type 2 diabetes.</w:t>
      </w:r>
    </w:p>
    <w:p w:rsidR="00B16D09" w:rsidRDefault="00B16D09" w:rsidP="00B16D09">
      <w:pPr>
        <w:pStyle w:val="NormalWeb"/>
      </w:pPr>
      <w:r>
        <w:t>Best,</w:t>
      </w:r>
      <w:r>
        <w:br/>
      </w:r>
      <w:proofErr w:type="spellStart"/>
      <w:r>
        <w:t>Shirsh</w:t>
      </w:r>
      <w:proofErr w:type="spellEnd"/>
    </w:p>
    <w:p w:rsidR="007B788F" w:rsidRDefault="007B788F"/>
    <w:sectPr w:rsidR="007B7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D09"/>
    <w:rsid w:val="007B788F"/>
    <w:rsid w:val="0098646A"/>
    <w:rsid w:val="00B1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B0EEB215-FB6C-C848-AFBE-4DA676B85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B16D0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16D0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7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Shirsh Sawarna</dc:creator>
  <cp:keywords/>
  <dc:description/>
  <cp:lastModifiedBy>Shirsh Sawarna</cp:lastModifiedBy>
  <cp:revision>1</cp:revision>
  <dcterms:created xsi:type="dcterms:W3CDTF">2026-07-09T06:52:00Z</dcterms:created>
  <dcterms:modified xsi:type="dcterms:W3CDTF">2026-07-09T06:52:00Z</dcterms:modified>
</cp:coreProperties>
</file>