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Most promising innovation/specialty assets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>We would rank the key assets as follows: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Saroglitazar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important valuation asset. Phase 3 PBC data is positive, NDA has received US FDA Priority Review, PDUFA is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27 Nov 2026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, and potential US launch is targeted by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 2027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, if approved. This is the clearest potential specialty-pharma rerating trigger. 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Desidustat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de-risked innovation asset. It is already approved in India, now approved in China for CKD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anaemia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through CMS, and addresses a large CKD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anaemia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pool in China. The key milestone is not clinical now, but China commercial ramp and revenue-share visibility. It also has longer-dated optionality in sickle cell disease, where US FDA has granted orphan drug designation and Phase II has been completed. 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505(b)(2) portfolio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is the most important near-term earnings bridge. This is not “blue-sky R&amp;D”; it is lower-risk specialty monetization. Zydus already has all three Sitagliptin NDAs approved via 505(b)(2), including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Zituvio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Zituvimet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Zituvimet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XR, with US DPP-IV market size of c.US$9.5bn.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Beizray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/docetaxel was launched in Oct-25 and strengthens the oncology supportive-care platform. Management also points to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LiqMeds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and another supportive oncology 505(b)(2) product as FY27/FY28 scale-up drivers. 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Net: </w:t>
      </w:r>
      <w:proofErr w:type="spellStart"/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Saroglitazar</w:t>
      </w:r>
      <w:proofErr w:type="spellEnd"/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rerating asset; </w:t>
      </w:r>
      <w:proofErr w:type="spellStart"/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Desidustat</w:t>
      </w:r>
      <w:proofErr w:type="spellEnd"/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= de-risked China monetization asset; 505(b)(2) = near-term earnings bridge.</w:t>
      </w:r>
    </w:p>
    <w:p w:rsidR="00632592" w:rsidRPr="00632592" w:rsidRDefault="00C9114A" w:rsidP="006325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9114A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Downside risks to estimates / TP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>The key risks are concentrated in four buckets.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First,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 execution risk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>: faster base erosion in generics, lower-than-expected 505(b)(2) uptake, or weaker-than-assumed economics in Sitagliptin/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Beizray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/Mirabegron.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Second,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pipeline risk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Saroglitazar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approval/commercialization delay, slower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Desidustat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China ramp, or lower probability of success for longer-duration NCE/BLA assets.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Third,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 risk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>: gross-margin expansion does not come through if specialty mix scales slower, R&amp;D stays elevated, or pre-launch commercial costs rise.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Fourth,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allocation risk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Assertio</w:t>
      </w:r>
      <w:proofErr w:type="spell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/Agenus/MedTech assets may not deliver expected synergy, ROCE improvement or strategic fit.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the downside case is not one single binary failure. It is a slower conversion of the innovation story into P&amp;L, which would cap both earnings upgrades and multiple expansion.</w:t>
      </w:r>
    </w:p>
    <w:p w:rsidR="00632592" w:rsidRPr="00632592" w:rsidRDefault="00C9114A" w:rsidP="00632592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C9114A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FCFF discounting / TGR point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You are correct methodologically. Explicit-period FCFF should be discounted at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WACC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63259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 growth rate</w:t>
      </w:r>
      <w:r w:rsidRPr="00632592">
        <w:rPr>
          <w:rFonts w:ascii="Times New Roman" w:eastAsia="Times New Roman" w:hAnsi="Times New Roman" w:cs="Times New Roman"/>
          <w:kern w:val="0"/>
          <w14:ligatures w14:val="none"/>
        </w:rPr>
        <w:t xml:space="preserve"> should only be used to calculate terminal value, not to discount annual FCFF.</w:t>
      </w:r>
    </w:p>
    <w:p w:rsidR="00632592" w:rsidRPr="00632592" w:rsidRDefault="00632592" w:rsidP="0063259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32592">
        <w:rPr>
          <w:rFonts w:ascii="Times New Roman" w:eastAsia="Times New Roman" w:hAnsi="Times New Roman" w:cs="Times New Roman"/>
          <w:kern w:val="0"/>
          <w14:ligatures w14:val="none"/>
        </w:rPr>
        <w:t>We are rechecking the portal model. If the formulation segment FCFF appears to be discounted using TGR, that is likely a model-link/upload issue rather than the intended valuation approach. We will verify and send across the corrected file if required.</w:t>
      </w:r>
    </w:p>
    <w:p w:rsidR="007B788F" w:rsidRDefault="007B788F"/>
    <w:sectPr w:rsidR="007B78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92"/>
    <w:rsid w:val="00632592"/>
    <w:rsid w:val="007B788F"/>
    <w:rsid w:val="0098646A"/>
    <w:rsid w:val="00C91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27CA4C-4C3B-8646-8168-FC6011313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6325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259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325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43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0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7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65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Shirsh Sawarna</dc:creator>
  <cp:keywords/>
  <dc:description/>
  <cp:lastModifiedBy>Shirsh Sawarna</cp:lastModifiedBy>
  <cp:revision>1</cp:revision>
  <dcterms:created xsi:type="dcterms:W3CDTF">2026-06-25T05:38:00Z</dcterms:created>
  <dcterms:modified xsi:type="dcterms:W3CDTF">2026-06-25T05:38:00Z</dcterms:modified>
</cp:coreProperties>
</file>