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6969" w:rsidRPr="00336969" w:rsidRDefault="00336969" w:rsidP="0033696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36969">
        <w:rPr>
          <w:rFonts w:ascii="Times New Roman" w:eastAsia="Times New Roman" w:hAnsi="Times New Roman" w:cs="Times New Roman"/>
          <w:b/>
          <w:bCs/>
          <w:kern w:val="36"/>
          <w:sz w:val="48"/>
          <w:szCs w:val="48"/>
          <w14:ligatures w14:val="none"/>
        </w:rPr>
        <w:t>Mankind Pharma Q1 Preview: Acute and Chronic Both Trail the IPM; Maintain Underperform</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b/>
          <w:bCs/>
          <w:kern w:val="0"/>
          <w14:ligatures w14:val="none"/>
        </w:rPr>
        <w:t>Rating: Underperform | Target Price: ₹2,057</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Highlights</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 xml:space="preserve">Our IQVIA analysis suggests that Mankind’s Q1 FY27 domestic performance remained below the IPM and relevant peers, increasing the risk of a weak quarterly result. The weakness challenges the core premise behind Mankind’s premium domestic valuation. </w:t>
      </w:r>
      <w:r w:rsidRPr="00336969">
        <w:rPr>
          <w:rFonts w:ascii="Times New Roman" w:eastAsia="Times New Roman" w:hAnsi="Times New Roman" w:cs="Times New Roman"/>
          <w:b/>
          <w:bCs/>
          <w:kern w:val="0"/>
          <w14:ligatures w14:val="none"/>
        </w:rPr>
        <w:t>(1)</w:t>
      </w:r>
      <w:r w:rsidRPr="00336969">
        <w:rPr>
          <w:rFonts w:ascii="Times New Roman" w:eastAsia="Times New Roman" w:hAnsi="Times New Roman" w:cs="Times New Roman"/>
          <w:kern w:val="0"/>
          <w14:ligatures w14:val="none"/>
        </w:rPr>
        <w:t xml:space="preserve"> Mankind was the slowest-growing company among the selected leading domestic pharma peers in CY26 H1, despite operating from a smaller base than Sun Pharma, Abbott and Cipla. The gap was also consistent through the quarter, with Mankind growing slower than the IPM in April, May and June. This makes the underperformance harder to explain as a one-month timing issue. </w:t>
      </w:r>
      <w:r w:rsidRPr="00336969">
        <w:rPr>
          <w:rFonts w:ascii="Times New Roman" w:eastAsia="Times New Roman" w:hAnsi="Times New Roman" w:cs="Times New Roman"/>
          <w:b/>
          <w:bCs/>
          <w:kern w:val="0"/>
          <w14:ligatures w14:val="none"/>
        </w:rPr>
        <w:t>(2)</w:t>
      </w:r>
      <w:r w:rsidRPr="00336969">
        <w:rPr>
          <w:rFonts w:ascii="Times New Roman" w:eastAsia="Times New Roman" w:hAnsi="Times New Roman" w:cs="Times New Roman"/>
          <w:kern w:val="0"/>
          <w14:ligatures w14:val="none"/>
        </w:rPr>
        <w:t xml:space="preserve"> The weakness was broad-based. Mankind’s top chronic products remained below IPM chronic growth, while its acute portfolio also trailed the acute market despite being the company’s historical strength. Growth slowed across cardiac, anti-infectives, </w:t>
      </w:r>
      <w:proofErr w:type="spellStart"/>
      <w:r w:rsidRPr="00336969">
        <w:rPr>
          <w:rFonts w:ascii="Times New Roman" w:eastAsia="Times New Roman" w:hAnsi="Times New Roman" w:cs="Times New Roman"/>
          <w:kern w:val="0"/>
          <w14:ligatures w14:val="none"/>
        </w:rPr>
        <w:t>gynaecology</w:t>
      </w:r>
      <w:proofErr w:type="spellEnd"/>
      <w:r w:rsidRPr="00336969">
        <w:rPr>
          <w:rFonts w:ascii="Times New Roman" w:eastAsia="Times New Roman" w:hAnsi="Times New Roman" w:cs="Times New Roman"/>
          <w:kern w:val="0"/>
          <w14:ligatures w14:val="none"/>
        </w:rPr>
        <w:t xml:space="preserve">, gastrointestinal and anti-diabetic therapies once the Bharat Serums and Vaccines (BSV) consolidation benefit entered the comparison base. </w:t>
      </w:r>
      <w:r w:rsidRPr="00336969">
        <w:rPr>
          <w:rFonts w:ascii="Times New Roman" w:eastAsia="Times New Roman" w:hAnsi="Times New Roman" w:cs="Times New Roman"/>
          <w:b/>
          <w:bCs/>
          <w:kern w:val="0"/>
          <w14:ligatures w14:val="none"/>
        </w:rPr>
        <w:t>(3)</w:t>
      </w:r>
      <w:r w:rsidRPr="00336969">
        <w:rPr>
          <w:rFonts w:ascii="Times New Roman" w:eastAsia="Times New Roman" w:hAnsi="Times New Roman" w:cs="Times New Roman"/>
          <w:kern w:val="0"/>
          <w14:ligatures w14:val="none"/>
        </w:rPr>
        <w:t xml:space="preserve"> Prescription productivity moved in the wrong direction. Mankind’s prescriptions per GP declined for a second consecutive year, while its specialist productivity also fell from an already lower base. Sun Pharma improved across both channels despite operating from a much larger revenue and prescription base. IQVIA data will not translate exactly into reported revenue because of inventory, channel mix, non-IQVIA sales and consolidation effects. Still, the direction of the data does not support superior execution or market-share gains. We maintain </w:t>
      </w:r>
      <w:r w:rsidRPr="00336969">
        <w:rPr>
          <w:rFonts w:ascii="Times New Roman" w:eastAsia="Times New Roman" w:hAnsi="Times New Roman" w:cs="Times New Roman"/>
          <w:b/>
          <w:bCs/>
          <w:kern w:val="0"/>
          <w14:ligatures w14:val="none"/>
        </w:rPr>
        <w:t>Underperform</w:t>
      </w:r>
      <w:r w:rsidRPr="00336969">
        <w:rPr>
          <w:rFonts w:ascii="Times New Roman" w:eastAsia="Times New Roman" w:hAnsi="Times New Roman" w:cs="Times New Roman"/>
          <w:kern w:val="0"/>
          <w14:ligatures w14:val="none"/>
        </w:rPr>
        <w:t xml:space="preserve"> and our </w:t>
      </w:r>
      <w:r w:rsidRPr="00336969">
        <w:rPr>
          <w:rFonts w:ascii="Times New Roman" w:eastAsia="Times New Roman" w:hAnsi="Times New Roman" w:cs="Times New Roman"/>
          <w:b/>
          <w:bCs/>
          <w:kern w:val="0"/>
          <w14:ligatures w14:val="none"/>
        </w:rPr>
        <w:t>₹2,057 target price</w:t>
      </w:r>
      <w:r w:rsidRPr="00336969">
        <w:rPr>
          <w:rFonts w:ascii="Times New Roman" w:eastAsia="Times New Roman" w:hAnsi="Times New Roman" w:cs="Times New Roman"/>
          <w:kern w:val="0"/>
          <w14:ligatures w14:val="none"/>
        </w:rPr>
        <w:t xml:space="preserve">. Mankind’s valuation remains difficult to defend until domestic growth moves above the market and prescription productivity </w:t>
      </w:r>
      <w:proofErr w:type="spellStart"/>
      <w:r w:rsidRPr="00336969">
        <w:rPr>
          <w:rFonts w:ascii="Times New Roman" w:eastAsia="Times New Roman" w:hAnsi="Times New Roman" w:cs="Times New Roman"/>
          <w:kern w:val="0"/>
          <w14:ligatures w14:val="none"/>
        </w:rPr>
        <w:t>stabilises</w:t>
      </w:r>
      <w:proofErr w:type="spellEnd"/>
      <w:r w:rsidRPr="00336969">
        <w:rPr>
          <w:rFonts w:ascii="Times New Roman" w:eastAsia="Times New Roman" w:hAnsi="Times New Roman" w:cs="Times New Roman"/>
          <w:kern w:val="0"/>
          <w14:ligatures w14:val="none"/>
        </w:rPr>
        <w:t>.</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MANKIND LAGS THE MARKET AND LEADING DOMESTIC PEERS</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Mankind was the slowest-growing company among the selected leading domestic pharma players in CY26 H1. Sun Pharma, Abbott and Cipla all grew faster despite operating from larger domestic revenue bases, while Lupin, Zydus and Eris also remained ahead. The domestic market itself remained healthy, so Mankind’s weaker growth cannot be attributed to weak industry demand. The company did not participate fully in the market’s growth. A business valued for superior domestic execution should not be the slowest-growing company among its major peers.</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 xml:space="preserve">The monthly data shows that the weakness persisted throughout Q1 FY27. Mankind grew slightly below the IPM in April, the gap widened in May, and the company again remained below the market in June. June growth improved for both Mankind and the IPM, but Mankind </w:t>
      </w:r>
      <w:r w:rsidRPr="00336969">
        <w:rPr>
          <w:rFonts w:ascii="Times New Roman" w:eastAsia="Times New Roman" w:hAnsi="Times New Roman" w:cs="Times New Roman"/>
          <w:kern w:val="0"/>
          <w14:ligatures w14:val="none"/>
        </w:rPr>
        <w:lastRenderedPageBreak/>
        <w:t>still did not close the gap. Three consecutive months of underperformance point to a broader execution issue rather than normal monthly volatility.</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The focused Q1 comparison makes the gap more visible. Sun Pharma grew above the IPM despite a domestic sales base materially larger than Mankind’s, while Eris also remained above the market. Mankind grew below the IPM from a much smaller base. A smaller company should have more room to grow when execution and prescription conversion are superior. The data shows the opposite. The weakness is also not confined to one part of Mankind’s portfolio, as both chronic and acute therapies grew slower than their respective markets.</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CHRONIC GROWTH REMAINS BELOW THE MARKET</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Mankind’s chronic portfolio remained below IPM chronic growth throughout Q1 FY27. Its top seven chronic products grew by roughly low double digits in April and May before accelerating in June, while the underlying chronic market remained faster in each month. Mankind has invested in portfolio expansion, field-force capacity and acquired brands to build a larger chronic business. Those investments have not yet translated into above-market growth or meaningful share gains.</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The June acceleration does not yet indicate a structural recovery. Our analysis suggests that part of the improvement reflects a weaker comparison base in June 2025, while Mankind still remained below IPM chronic growth. The chronic portfolio is therefore adding scale, but it is not yet delivering the faster and more durable growth needed to improve the quality of Mankind’s domestic earnings.</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ACUTE, MANKIND’S HISTORICAL STRENGTH, ALSO LAGS</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The weakness extends to Mankind’s acute portfolio, historically the core strength of the company. Mankind’s top 13 acute products grew below the IPM acute market across the first half of CY26, with a material gap in February, March and May. The portfolio recovered to around high single-digit growth in April and June, but the acute market remained faster. The shortfall is therefore visible across both stronger and weaker months.</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This matters because Mankind’s large GP network and grassroots reach were expected to make acute therapies the more resilient part of the business. Acute underperformance weakens that argument. If both the developing chronic portfolio and the established acute portfolio are growing below their respective markets, the issue is broader than therapy mix. The data points to weaker execution across the domestic franchise. Therapy-level growth confirms that this is not being driven by one isolated category.</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GROWTH HAS SLOWED ACROSS MAJOR THERAPIES</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lastRenderedPageBreak/>
        <w:t xml:space="preserve">Growth slowed across nearly every major therapy in Q1 FY27. The exhibit compares each quarter with the corresponding period in the prior year. Q1 FY26 showed healthy growth across several therapies, including cardiac, </w:t>
      </w:r>
      <w:proofErr w:type="spellStart"/>
      <w:r w:rsidRPr="00336969">
        <w:rPr>
          <w:rFonts w:ascii="Times New Roman" w:eastAsia="Times New Roman" w:hAnsi="Times New Roman" w:cs="Times New Roman"/>
          <w:kern w:val="0"/>
          <w14:ligatures w14:val="none"/>
        </w:rPr>
        <w:t>gynaecology</w:t>
      </w:r>
      <w:proofErr w:type="spellEnd"/>
      <w:r w:rsidRPr="00336969">
        <w:rPr>
          <w:rFonts w:ascii="Times New Roman" w:eastAsia="Times New Roman" w:hAnsi="Times New Roman" w:cs="Times New Roman"/>
          <w:kern w:val="0"/>
          <w14:ligatures w14:val="none"/>
        </w:rPr>
        <w:t xml:space="preserve"> and anti-diabetic products. That period was not a clean organic comparison because the consolidation of BSV changed the portfolio base and supported reported growth in parts of the domestic business.</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 xml:space="preserve">By Q1 FY27, BSV was included in the comparative base and the growth benefit had </w:t>
      </w:r>
      <w:proofErr w:type="spellStart"/>
      <w:r w:rsidRPr="00336969">
        <w:rPr>
          <w:rFonts w:ascii="Times New Roman" w:eastAsia="Times New Roman" w:hAnsi="Times New Roman" w:cs="Times New Roman"/>
          <w:kern w:val="0"/>
          <w14:ligatures w14:val="none"/>
        </w:rPr>
        <w:t>normalised</w:t>
      </w:r>
      <w:proofErr w:type="spellEnd"/>
      <w:r w:rsidRPr="00336969">
        <w:rPr>
          <w:rFonts w:ascii="Times New Roman" w:eastAsia="Times New Roman" w:hAnsi="Times New Roman" w:cs="Times New Roman"/>
          <w:kern w:val="0"/>
          <w14:ligatures w14:val="none"/>
        </w:rPr>
        <w:t xml:space="preserve">. Cardiac growth fell from above 20% to high single digits, anti-infective growth moderated, gastrointestinal growth slowed further and anti-diabetic growth declined to high single digits. We estimate that </w:t>
      </w:r>
      <w:proofErr w:type="spellStart"/>
      <w:r w:rsidRPr="00336969">
        <w:rPr>
          <w:rFonts w:ascii="Times New Roman" w:eastAsia="Times New Roman" w:hAnsi="Times New Roman" w:cs="Times New Roman"/>
          <w:kern w:val="0"/>
          <w14:ligatures w14:val="none"/>
        </w:rPr>
        <w:t>gynaecology</w:t>
      </w:r>
      <w:proofErr w:type="spellEnd"/>
      <w:r w:rsidRPr="00336969">
        <w:rPr>
          <w:rFonts w:ascii="Times New Roman" w:eastAsia="Times New Roman" w:hAnsi="Times New Roman" w:cs="Times New Roman"/>
          <w:kern w:val="0"/>
          <w14:ligatures w14:val="none"/>
        </w:rPr>
        <w:t xml:space="preserve"> sales declined slightly. The weakness therefore spans acute, chronic and women’s-health categories rather than one product or therapy.</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 xml:space="preserve">The chart also tests the strategic value of the BSV acquisition. The transaction increased Mankind’s scale and expanded its specialty portfolio, but the latest data does not yet show a stronger underlying growth engine after the consolidation effect </w:t>
      </w:r>
      <w:proofErr w:type="spellStart"/>
      <w:r w:rsidRPr="00336969">
        <w:rPr>
          <w:rFonts w:ascii="Times New Roman" w:eastAsia="Times New Roman" w:hAnsi="Times New Roman" w:cs="Times New Roman"/>
          <w:kern w:val="0"/>
          <w14:ligatures w14:val="none"/>
        </w:rPr>
        <w:t>normalised</w:t>
      </w:r>
      <w:proofErr w:type="spellEnd"/>
      <w:r w:rsidRPr="00336969">
        <w:rPr>
          <w:rFonts w:ascii="Times New Roman" w:eastAsia="Times New Roman" w:hAnsi="Times New Roman" w:cs="Times New Roman"/>
          <w:kern w:val="0"/>
          <w14:ligatures w14:val="none"/>
        </w:rPr>
        <w:t>. This does not mean BSV has failed, but it reduces near-term evidence of revenue synergies or improved prescription momentum. The broad therapy slowdown is consistent with the falling prescriber productivity visible in the final two exhibits.</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GP PRODUCTIVITY, MANKIND’S TRADITIONAL ADVANTAGE, IS DECLINING</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Mankind’s prescriptions per GP have declined for two consecutive years, weakening one of the central pillars of its domestic investment case. Prescriptions per doctor, or P/D, are a directional measure of prescription productivity across doctors covered by IQVIA. Mankind’s GP P/D fell from roughly 167 in Q1 FY25 to 157 in Q1 FY26 and about 145 in Q1 FY27. Sun Pharma moved in the opposite direction, rising from around 90 to almost 100 over the same period.</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Mankind still has materially higher GP prescriptions per doctor in absolute terms. The concern is the direction of travel. Its historical advantage is narrowing while Sun Pharma is improving from a larger business base. Lower productivity may reflect weaker incremental prescription generation, broader doctor coverage without proportionate prescriptions, portfolio weakness or lower field-force effectiveness. The data does not identify one definitive cause, but it challenges the view that Mankind’s grassroots sales platform remains structurally superior.</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SPECIALTY PRODUCTIVITY IS ALSO WEAKER</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The weakness is also visible in the specialist channel. Mankind’s specialist P/D declined from the high 70s in Q1 FY25 to the low 70s in Q1 FY27, while Sun Pharma improved from roughly 124 to close to 130. Sun Pharma therefore combines a much higher absolute prescription base with a positive productivity trend. Mankind has a smaller base and a negative trend.</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 xml:space="preserve">The distinction between the two channels is important. In GP, Mankind still leads in absolute productivity but is declining. In specialty, it starts well below Sun Pharma and is also declining. Sun Pharma is improving across both prescriber groups. The data points to weaker prescription </w:t>
      </w:r>
      <w:r w:rsidRPr="00336969">
        <w:rPr>
          <w:rFonts w:ascii="Times New Roman" w:eastAsia="Times New Roman" w:hAnsi="Times New Roman" w:cs="Times New Roman"/>
          <w:kern w:val="0"/>
          <w14:ligatures w14:val="none"/>
        </w:rPr>
        <w:lastRenderedPageBreak/>
        <w:t>conversion across Mankind’s traditional GP franchise and its newer specialty portfolio, which reduces confidence in the company’s ability to use its existing platform to build chronic and specialty scale.</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Q1 FY27 PREVIEW AND EARNINGS RISK</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The IQVIA data increases downside risk to Mankind’s Q1 FY27 domestic branded-formulation growth. Below-market organic growth could limit operating leverage, while a weaker domestic mix may restrict margin expansion. BSV consolidation will also provide less year-on-year support now that the acquired portfolio is included in the comparison base. Reported results can differ from IQVIA because of inventory movements, channel mix, institutional sales, non-IQVIA products, pricing and timing. Even after allowing for these factors, the market data does not support a strong underlying domestic quarter or a clear improvement in execution.</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VALUATION PARITY WITH SUN PHARMA IS NOT JUSTIFIED</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 xml:space="preserve">Mankind’s valuation has historically reflected expectations of above-market domestic growth, deep GP penetration and superior field-force execution. Investors have also expected the company to use this platform to expand from acute therapies into chronic and specialty markets, with BSV adding brands and prescriber access. The latest data weakens each part of that case. Mankind is growing below the IPM, both acute and chronic portfolios are trailing their markets, and major therapy growth slowed after the BSV comparison base </w:t>
      </w:r>
      <w:proofErr w:type="spellStart"/>
      <w:r w:rsidRPr="00336969">
        <w:rPr>
          <w:rFonts w:ascii="Times New Roman" w:eastAsia="Times New Roman" w:hAnsi="Times New Roman" w:cs="Times New Roman"/>
          <w:kern w:val="0"/>
          <w14:ligatures w14:val="none"/>
        </w:rPr>
        <w:t>normalised</w:t>
      </w:r>
      <w:proofErr w:type="spellEnd"/>
      <w:r w:rsidRPr="00336969">
        <w:rPr>
          <w:rFonts w:ascii="Times New Roman" w:eastAsia="Times New Roman" w:hAnsi="Times New Roman" w:cs="Times New Roman"/>
          <w:kern w:val="0"/>
          <w14:ligatures w14:val="none"/>
        </w:rPr>
        <w:t>.</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The comparison with Sun Pharma is particularly difficult for Mankind. Sun Pharma is growing faster despite its much larger domestic base, while its prescriptions per doctor are improving across both GP and specialist channels. Mankind’s GP productivity remains higher in absolute terms, but the gap is narrowing. Its specialty productivity is both lower and declining. We therefore do not believe Mankind’s Indian business deserves a multiple equal to Sun Pharma’s domestic franchise. Valuation parity requires comparable growth quality and execution, and the current data shows a clear gap.</w:t>
      </w:r>
    </w:p>
    <w:p w:rsidR="00336969" w:rsidRPr="00336969" w:rsidRDefault="00336969" w:rsidP="0033696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36969">
        <w:rPr>
          <w:rFonts w:ascii="Times New Roman" w:eastAsia="Times New Roman" w:hAnsi="Times New Roman" w:cs="Times New Roman"/>
          <w:b/>
          <w:bCs/>
          <w:kern w:val="0"/>
          <w:sz w:val="36"/>
          <w:szCs w:val="36"/>
          <w14:ligatures w14:val="none"/>
        </w:rPr>
        <w:t>INVESTMENT IMPLICATIONS</w:t>
      </w:r>
    </w:p>
    <w:p w:rsidR="00336969" w:rsidRPr="00336969" w:rsidRDefault="00336969" w:rsidP="00336969">
      <w:pPr>
        <w:spacing w:before="100" w:beforeAutospacing="1" w:after="100" w:afterAutospacing="1"/>
        <w:rPr>
          <w:rFonts w:ascii="Times New Roman" w:eastAsia="Times New Roman" w:hAnsi="Times New Roman" w:cs="Times New Roman"/>
          <w:kern w:val="0"/>
          <w14:ligatures w14:val="none"/>
        </w:rPr>
      </w:pPr>
      <w:r w:rsidRPr="00336969">
        <w:rPr>
          <w:rFonts w:ascii="Times New Roman" w:eastAsia="Times New Roman" w:hAnsi="Times New Roman" w:cs="Times New Roman"/>
          <w:kern w:val="0"/>
          <w14:ligatures w14:val="none"/>
        </w:rPr>
        <w:t xml:space="preserve">Mankind’s Q1 FY27 domestic growth appears weaker than the IPM and relevant peers, with underperformance visible in April, May and June. Both chronic and acute portfolios trailed their respective markets, while growth slowed across major therapies after the BSV consolidation benefit </w:t>
      </w:r>
      <w:proofErr w:type="spellStart"/>
      <w:r w:rsidRPr="00336969">
        <w:rPr>
          <w:rFonts w:ascii="Times New Roman" w:eastAsia="Times New Roman" w:hAnsi="Times New Roman" w:cs="Times New Roman"/>
          <w:kern w:val="0"/>
          <w14:ligatures w14:val="none"/>
        </w:rPr>
        <w:t>normalised</w:t>
      </w:r>
      <w:proofErr w:type="spellEnd"/>
      <w:r w:rsidRPr="00336969">
        <w:rPr>
          <w:rFonts w:ascii="Times New Roman" w:eastAsia="Times New Roman" w:hAnsi="Times New Roman" w:cs="Times New Roman"/>
          <w:kern w:val="0"/>
          <w14:ligatures w14:val="none"/>
        </w:rPr>
        <w:t xml:space="preserve">. Prescription productivity also declined across GP and specialist channels. Sun Pharma delivered faster growth and improving productivity from a larger base, weakening the case for valuation parity. We maintain </w:t>
      </w:r>
      <w:r w:rsidRPr="00336969">
        <w:rPr>
          <w:rFonts w:ascii="Times New Roman" w:eastAsia="Times New Roman" w:hAnsi="Times New Roman" w:cs="Times New Roman"/>
          <w:b/>
          <w:bCs/>
          <w:kern w:val="0"/>
          <w14:ligatures w14:val="none"/>
        </w:rPr>
        <w:t>Underperform</w:t>
      </w:r>
      <w:r w:rsidRPr="00336969">
        <w:rPr>
          <w:rFonts w:ascii="Times New Roman" w:eastAsia="Times New Roman" w:hAnsi="Times New Roman" w:cs="Times New Roman"/>
          <w:kern w:val="0"/>
          <w14:ligatures w14:val="none"/>
        </w:rPr>
        <w:t xml:space="preserve"> and our </w:t>
      </w:r>
      <w:r w:rsidRPr="00336969">
        <w:rPr>
          <w:rFonts w:ascii="Times New Roman" w:eastAsia="Times New Roman" w:hAnsi="Times New Roman" w:cs="Times New Roman"/>
          <w:b/>
          <w:bCs/>
          <w:kern w:val="0"/>
          <w14:ligatures w14:val="none"/>
        </w:rPr>
        <w:t>₹2,057 target price</w:t>
      </w:r>
      <w:r w:rsidRPr="00336969">
        <w:rPr>
          <w:rFonts w:ascii="Times New Roman" w:eastAsia="Times New Roman" w:hAnsi="Times New Roman" w:cs="Times New Roman"/>
          <w:kern w:val="0"/>
          <w14:ligatures w14:val="none"/>
        </w:rPr>
        <w:t xml:space="preserve">. Until Mankind returns to above-market organic growth and </w:t>
      </w:r>
      <w:proofErr w:type="spellStart"/>
      <w:r w:rsidRPr="00336969">
        <w:rPr>
          <w:rFonts w:ascii="Times New Roman" w:eastAsia="Times New Roman" w:hAnsi="Times New Roman" w:cs="Times New Roman"/>
          <w:kern w:val="0"/>
          <w14:ligatures w14:val="none"/>
        </w:rPr>
        <w:t>stabilises</w:t>
      </w:r>
      <w:proofErr w:type="spellEnd"/>
      <w:r w:rsidRPr="00336969">
        <w:rPr>
          <w:rFonts w:ascii="Times New Roman" w:eastAsia="Times New Roman" w:hAnsi="Times New Roman" w:cs="Times New Roman"/>
          <w:kern w:val="0"/>
          <w14:ligatures w14:val="none"/>
        </w:rPr>
        <w:t xml:space="preserve"> prescription productivity, we see limited support for its premium domestic valuation.</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69"/>
    <w:rsid w:val="00336969"/>
    <w:rsid w:val="007B788F"/>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DF91155-0B99-FF43-9D42-88C7BB8BB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696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3696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96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3696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33696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69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52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1686</Words>
  <Characters>9616</Characters>
  <Application>Microsoft Office Word</Application>
  <DocSecurity>0</DocSecurity>
  <Lines>80</Lines>
  <Paragraphs>22</Paragraphs>
  <ScaleCrop>false</ScaleCrop>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2026-07-15T08:34:00Z</dcterms:created>
  <dcterms:modified xsi:type="dcterms:W3CDTF">2026-07-15T08:34:00Z</dcterms:modified>
</cp:coreProperties>
</file>