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India GLP-1: a large market with fragmented economics; semaglutide is only the first wave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b/>
          <w:bCs/>
          <w:kern w:val="0"/>
          <w14:ligatures w14:val="none"/>
        </w:rPr>
        <w:t>Research cut-off: 23 July 2026.</w:t>
      </w:r>
      <w:r w:rsidRPr="007C2433">
        <w:rPr>
          <w:rFonts w:ascii="Times New Roman" w:eastAsia="Times New Roman" w:hAnsi="Times New Roman" w:cs="Times New Roman"/>
          <w:kern w:val="0"/>
          <w14:ligatures w14:val="none"/>
        </w:rPr>
        <w:t xml:space="preserve"> The India market analysis is based principally on the supplied IQVIA data through the June 2026 quarter and Bernstein estimates. Global clinical and regulatory developments are incorporated through the research cut-off. House forecasts and assumptions follow the supplied research brief. </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Highlights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India’s post-patent semaglutide market is building, but the first three months do not support a concentrated blockbuster outcome for any individual generic company. The principal Indian semaglutide compound patent expired on 20 March 2026, and branded-generic launches began immediately thereafter. Supplied IQVIA data shows 20 brands, 55 packs and 11 participating companies in March, followed by three further brands and 22 packs in April. Monthly semaglutide market value increased from INR 610 million in February to INR 700 million in March and INR 950 million in April, while branded generics reached 36% of value and 31% of volume by April. The June-quarter data shows further expansion, with branded generics contributing INR 1.07 billion of the INR 2.81 billion market. Volume has grown faster than value because generic treatment prices are materially below innovator prices. This is expanding access but dispersing revenue across brands, strengths and delivery formats. Early sales also contain launch inventory, doctor sampling and channel stocking, while patient initiation requires titration and repeat prescriptions. The data therefore confirms rapid supply formation, but remains insufficient to establish durable patient adoption. We read the first quarter as consistent with our initiation thesis: India can create a large semaglutide category, but price sensitivity, fragmented entry and lower treatment persistence should prevent a single domestic participant from capturing a dominant revenue pool.</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competitive market is already moving beyond molecule availability. Novo Nordisk retained 62% of semaglutide value in the June quarter, including 82% of oral value and 53% of pen value in the supplied IQVIA data. This reflects clinical evidence, physician familiarity, device quality, dose consistency and brand trust, rather than molecule exclusivity alone. At the same time, tirzepatide generated INR 4.30 billion of value in the June quarter, up 17% from the March quarter, exceeding the entire semaglutide category in the supplied dataset. SURMOUNT-5 directly compared maximum tolerated tirzepatide with semaglutide in adults with obesity without diabetes and reported 20.2% versus 13.7% average weight reduction at 72 weeks. The comparison supports tirzepatide’s efficacy advantage on weight loss in that population, although affordability, availability and tolerability remain critical in India. Delivery is becoming equally important. The April market was divided among oral products, standard injections, vials and pens, with pens gaining value faster than other generic formats. Identical active ingredients can produce different commercial outcomes because device reliability, titration breadth, injection comfort, patient training, supply and specialist confidence influence initiation and persistence. Semaglutide will also face higher-dose GLP-1, dual agonists, triple agonists, amylin combinations and scalable oral small molecules. Its addressable market can continue growing even as its long-term clinical and economic share declines.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Our model continues to indicate that India’s GLP-1 market can reach approximately INR 138 billion by FY31 and add roughly 3% to the future Indian Pharmaceutical Market. This is a large category, but market value and company-level value capture are separate questions. INR 3–4 billion of annual revenue represents only 2.2–2.9% of our FY31 market estimate. That is achievable for an early leader, but requires durable share across several years of new brands, lower prices and competing molecules. Our anti-diabetic model also indicates GLP-1 value share increasing from 6% in FY26 to 36% by FY31, while insulin declines from 22% to 13%. The insulin reduction is nine percentage points, or approximately 41% on a relative basis, rather than the 50% suggested by the original exhibit title. The largest economic pool should move away from undifferentiated peptide supply toward formulation, fill-finish, devices, specialist access, distribution and patient support. Torrent has the clearest early branded-generic lead, while Lupin and Zydus have potentially differentiated reusable-device and peptide capabilities. Sun combines broad specialist access with innovator-pipeline optionality through utreglutide, and Dr. Reddy’s combines formulation with export and API potential. Eris has gained early share in pens and vials but must convert specialist reach into repeat prescriptions. The principal losers are likely to be participants offering a narrow strength range, a copied format and price as the only differentiator. We retain our large-market, fragmented-profit-pool view.</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1. India’s post-patent semaglutide market is building, but not exploding</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1.1 The patent event opened the molecule, not every layer of the product</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The principal Indian patent at issue was IN262697, covering acylated GLP-1 analogues and including semaglutide in Claim 23. The patent was filed on 20 March 2006 and completed its 20-year term on 20 March 2026. Indian manufacturers had previously obtained permission to manufacture for export to countries without relevant protection, while domestic sales remained restricted during the patent term. The expiry removed the principal compound-patent barrier to Indian commercialisation.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expiry did not make every semaglutide product interchangeable from an intellectual-property or regulatory perspective. The active peptide, manufacturing process, formulation, absorption-enhancing technology, strength configuration, cartridge, injector and human-factor design are separate layers. Process, device and secondary patents may remain relevant depending on the product and jurisdiction. We did not identify evidence that all delivery-system rights expired with IN262697. The correct interpretation is therefore that India opened to semaglutide competition, not that every innovator formulation or device became freely reproducible.</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1.2 The first quarter shows rapid entry, with value trailing volume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The supplied IQVIA exhibits show that the market moved from an innovator-only structure in February to 20 branded-generic launches, 55 packs and 11 companies in March. April added three brands and 22 packs, including entries from Corona, Mankind and MSN. Monthly market </w:t>
      </w:r>
      <w:r w:rsidRPr="007C2433">
        <w:rPr>
          <w:rFonts w:ascii="Times New Roman" w:eastAsia="Times New Roman" w:hAnsi="Times New Roman" w:cs="Times New Roman"/>
          <w:kern w:val="0"/>
          <w14:ligatures w14:val="none"/>
        </w:rPr>
        <w:lastRenderedPageBreak/>
        <w:t>value increased from INR 610 million in February to INR 700 million in March and INR 950 million in April. Branded generics contributed approximately INR 240 million of incremental April value and 0.43 million incremental units, while innovators added only about INR 10 million and lost approximately 0.025 million units.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share shift was faster in value than a conventional slow-moving chronic launch, but considerably less concentrated than the number of entrants implied. Branded generics moved from no share in February to 14% of March value and 36% of April value. Their volume share reached 31% in April. The June-quarter exhibit indicates INR 1.07 billion of branded-generic value against INR 1.74 billion for innovators, leaving Novo Nordisk with 62% of category value. The market has therefore established generic supply, but innovators still hold the larger economic position.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Volume is growing faster than value because treatment prices have fallen materially. A low-priced oral tablet or vial can produce many more recorded units per rupee than an innovator pen. Packs and units also do not equal unique patients. Strengths, tablet counts, loading inventory and titration packs can increase volume without representing stable long-term treatment. The IQVIA June-quarter volume panel is not fully reconcilable with the April monthly panel, which may reflect different definitions or aggregation. We use it directionally and do not combine the two datasets mechanically.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first three months also cannot distinguish channel filling from patient demand. March and April included pipeline loading, product sampling, initial distributor placement and doctor education. Chronic prescription demand should instead be assessed through repeat prescriptions, persistence after dose escalation and continued purchasing after initial inventory normalises. Investors should therefore focus less on first-month dispatches and more on the value retained after the first two or three treatment cycles.</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1.3 India’s adoption curve should remain flatter and more price-sensitive than the US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India’s adoption constraint is not a lack of clinical need. The principal constraint is the combination of self-payment, long-duration therapy and a highly elastic consumer budget. A monthly treatment cost of INR 3,000–5,000 is materially more accessible than pre-expiry innovator pricing, but it remains a substantial recurring expense for much of the eligible population. Launch pricing can generate trial, while sustained revenue requires patients to fund repeated monthly treatment.</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Titration further delays the commercial curve. GLP-1 therapies generally begin at lower doses and increase gradually to manage gastrointestinal adverse effects. Clinical guidance recommends individualised titration because the optimal tolerated dose may be below the maximum approved dose. The commercial implication is that initial packs do not immediately become full-price maintenance demand.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Persistence is likely to be the largest source of forecast risk. Obesity is a chronic disease and treatment discontinuation commonly leads to weight regain. In the STEP 1 extension, </w:t>
      </w:r>
      <w:r w:rsidRPr="007C2433">
        <w:rPr>
          <w:rFonts w:ascii="Times New Roman" w:eastAsia="Times New Roman" w:hAnsi="Times New Roman" w:cs="Times New Roman"/>
          <w:kern w:val="0"/>
          <w14:ligatures w14:val="none"/>
        </w:rPr>
        <w:lastRenderedPageBreak/>
        <w:t xml:space="preserve">participants who stopped semaglutide after 68 weeks regained approximately two-thirds of their prior weight loss over the following year. The trial was not conducted in India, but it demonstrates that short treatment courses are unlikely to produce durable outcomes. India’s out-of-pocket structure could nevertheless lead patients to stop earlier than clinical evidence recommends.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first-quarter evidence partly confirms our prior adoption view. Price has widened the market, branded-generic volume has risen and several formats are finding demand. It does not yet prove that India will have substantially shorter average treatment duration, greater discontinuation or a later adoption peak. These remain house assumptions requiring prescription persistence and cohort-level refill data. The current evidence supports high price sensitivity and fragmentation more clearly than it supports the eventual shape of the adoption curve.</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1.4 A large market does not create one large domestic winner</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Our model estimates an INR 138 billion India GLP-1 market by FY31. That forecast incorporates semaglutide, tirzepatide and future molecules and should not be interpreted as a semaglutide-only opportunity. It also represents category value rather than guaranteed manufacturer net sales.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revenue sensitivity illustrates the difference between category size and company materiality: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2582"/>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FY31 share of INR 138bn market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Illustrative annual value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1.38bn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2.76bn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4.14bn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5%</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6.90bn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13.80bn</w:t>
            </w:r>
          </w:p>
        </w:tc>
      </w:tr>
    </w:tbl>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 company generating INR 3–4 billion would hold approximately 2.2–2.9% of the total FY31 GLP-1 category. That is plausible for a well-executed domestic franchise. A 10% position would require one company to dominate across molecules, strengths and formats despite current fragmentation. The early market provides little evidence for that outcome.</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2. Who is winning the early India market, and why?</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2.1 Early leadership is split by format</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Torrent has the clearest initial branded-generic lead, but no company leads every economic layer. Supplied April IQVIA data ranks Torrent’s Semalix and Sembolic among the leading products across oral and injectable formats. Lupin’s Semanext ranked second among the displayed brands by value. Eris led the visible generic pen and vial categories through Sundae, while Alkem, </w:t>
      </w:r>
      <w:r w:rsidRPr="007C2433">
        <w:rPr>
          <w:rFonts w:ascii="Times New Roman" w:eastAsia="Times New Roman" w:hAnsi="Times New Roman" w:cs="Times New Roman"/>
          <w:kern w:val="0"/>
          <w14:ligatures w14:val="none"/>
        </w:rPr>
        <w:lastRenderedPageBreak/>
        <w:t>MSN, USV, Abbott, Zydus, Sun and Dr. Reddy’s each established products among the top group.</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April ranking illustrates how format changes the interpretation of share. Torrent’s oral Semalix and Sembolic generated high volume at lower value per unit. By contrast, pen and injection products produced lower volumes but materially more value per administration. A company can therefore lead units without controlling the profit pool, or lead a high-value format while remaining small in total patients.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June-quarter exhibit indicates that branded-generic pen growth was the largest incremental source of value. Pens generated INR 1.42 billion of quarterly category value, oral formulations INR 1.06 billion, cartridges INR 230 million and vials INR 100 million. Novo remained the largest pen participant, while Torrent, Eris, Sun and Alkem had visible generic shares. Lupin led the displayed cartridge segment, Eris led vials, and Novo retained dominant oral share.</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2.2 Torrent’s lead reflects breadth, but durability is unproven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Torrent’s initial advantage is breadth across oral tablets, injections and pens rather than one differentiated technology. Its Semalix and Sembolic architecture allows the company to address price-sensitive oral demand and higher-value injectable demand with recognisable brand families. Torrent also entered early and has an established presence in chronic therapies, supporting endocrinologist and physician access.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This is commercially useful because prescribing behaviour can vary by patient. A doctor may select oral semaglutide for an injection-averse patient, a lower-priced injection for access, or a pen for convenience and dosing confidence. A multi-format company can retain the patient within its own brand architecture as treatment preferences change.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Initial leadership remains vulnerable. First-month rankings include stocking, introductory pricing and field-force launch intensity. Oral volumes may also be inflated by tablet counts relative to weekly injection units. Durable leadership requires refill persistence, brand retention after titration and an attractive cost position once competitors reduce prices. The evidence supports early execution, not a permanent market-share conclusion.</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2.3 Innovator resilience is economic, not merely clinical</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Nordisk’s continued semaglutide share is rational even after compound-patent expiry. Physicians have extensive experience with Rybelsus, Ozempic and Wegovy, while the products are supported by large clinical programmes, consistent delivery systems and outcomes evidence. Higher-income patients may rationally pay a premium for device familiarity, supply consistency and confidence in dose delivery.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supplied April data shows that Rybelsus remained the largest innovator semaglutide brand at INR 310 million, followed by Wegovy and Ozempic presentations. The June-quarter data shows Novo retaining 82% of oral category value and 53% of pen value. This indicates that generic entry has expanded the market more quickly than it has displaced the innovator.</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The distinction matters for Indian-company forecasts. A model that applies the entire post-expiry category to generics will overstate domestic value capture. Generic share can continue increasing, but innovator retention limits the pool available to any one Indian participant. Future branded innovation may reinforce this segmentation through higher-dose semaglutide, oral obesity formulations and combination products. Novo has already advanced oral semaglutide for obesity, semaglutide 7.2mg, CagriSema and zenagamtide. </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2.4 Similar molecules are not identical commercial products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Commercial differentiation persists through six variables: dose breadth, delivery reliability, patient convenience, specialist confidence, supply availability and support through titration. Price determines access, but price alone does not determine adherence.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Pen and cartridge design can reduce dose-selection errors and improve convenience, but introduces device sourcing, compatibility, stability and regulatory requirements. Vials reduce packaging cost but require a syringe, patient training and accurate measurement. Oral semaglutide avoids injections but requires formulation technology and disciplined administration. Prefilled products minimise handling but cost more to manufacture and can have greater packaging and stability complexity. Reviews of injectable delivery systems consistently identify convenience and dosing accuracy as potential adherence advantages, while also noting device-development and stability burdens.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 therefore expect share to fragment by patient segment rather than converge on one “generic semaglutide” price. Low-cost formats should lead volume, while reliable pens and established brands retain more value.</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3. Delivery format is the real competitive battle</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3.1 Format economics determine where the margin 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488"/>
        <w:gridCol w:w="1663"/>
        <w:gridCol w:w="1849"/>
        <w:gridCol w:w="1390"/>
        <w:gridCol w:w="1734"/>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Format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What the patient receives</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Main advantage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Main constraint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Likely India position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Economic moat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tablet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tablet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needle; broad primary-care use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Administration discipline; peptide absorption; daily adherence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volume, price-sensitive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Formulation and brand, but intense competition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Peptide solution in vial, syringe separate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Lowest packaging cost; flexible dosing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Training, contamination and dose-error risk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Access-led and lower-value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unless combined with distribution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Cartridge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Drug cartridge used in reusable pen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 recurring device waste; repeat use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Device-cartridge compatibility and training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Attractive for chronic users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ecosystem and cartridge supply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Standard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Single-dose or multidose injectable presentation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 cost than premium pen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More handling than prefilled pen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Broad generic middle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Manufacturing and strength range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Disposable prefilled pen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Drug and device supplied together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Convenience, dose confidence, low handling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Higher device and fill-finish cost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High-value urban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sourcing, reliability and brand</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Reusable pen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Durable device with replacement cartridges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 long-term device cost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Upfront training and device availability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mass-market chronic format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installed base and switching cost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Prefilled syringe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Fixed dose in ready-to-use syringe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Simple administration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Less titration flexibility; exposed needle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Niche or institutional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Fill-finish and quality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Future implant or pump</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Long-duration delivery system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Improved persistence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Invasive, expensive and complex</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near-term India relevance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technical and regulatory barrier</w:t>
            </w:r>
          </w:p>
        </w:tc>
      </w:tr>
    </w:tbl>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supplied economics framework allocates 10% of price to drug substance, 6% to fill-finish, 18% to the pen or device, 32% to R&amp;D, selling and distribution, and 34% to EBITDA. We do not treat this as a representative India generic margin structure. It is better viewed as a potential vertically integrated or export-oriented economics framework. Domestic price competition should reduce both the device-value pool and operating margin.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broader conclusion remains valid. The peptide itself can commoditise faster than the full product. Device validation, stable formulation, fill-finish quality, field-force reach and patient support remain differentiated after the active ingredient becomes widely available. The market can therefore resemble specialty pharma economics for leading products, while undifferentiated vials and injections converge toward generic economics.</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3.2 Lupin and Zydus have credible device optionality, but ownership requires verification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Zydus developed a 15mg/3mL semaglutide cartridge for use with a reusable pen and entered a semi-exclusive co-marketing arrangement with Lupin for Semanext and Livarise. Zydus also commercialises its own semaglutide brands. The arrangement gives both companies product breadth and creates a potential reusable-device ecosystem.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Lupin’s strategic position is broader than domestic branding. The company has expanded peptide manufacturing capacity, which could support API, formulation and export opportunities. Zydus contributes development and device-format capability. The partnership is therefore more differentiated than a pure third-party product launch.</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 have not found sufficient public evidence to describe the pen technology as fully proprietary to either company. A reusable format can be sourced, licensed or jointly engineered. Investors should seek patent ownership, device-supplier disclosure, manufacturing localisation and regulatory portability before assigning a technology premium.</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4. Tirzepatide may remain the clinical benchmark</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activates the GLP-1 receptor. It increases glucose-dependent insulin secretion, reduces inappropriate glucagon secretion, slows gastric emptying and reduces appetite. Tirzepatide activates both GIP and GLP-1 receptors. The additional GIP component can enhance metabolic and weight effects, although its precise contribution differs by tissue and dose.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SURMOUNT-5 provides the cleanest direct comparison. The open-label phase 3b trial randomised 751 adults with obesity, or overweight with a weight-related condition, without diabetes. Participants received maximum tolerated tirzepatide 10mg or 15mg or semaglutide 1.7mg or 2.4mg for 72 weeks. Using the treatment-regimen estimand, average weight reduction was 20.2% with tirzepatide and 13.7% with semaglutide. Gastrointestinal events were the principal adverse effects and were generally mild to moderate. The trial supports greater weight-loss efficacy for tirzepatide under its studied conditions, but does not establish superiority on every clinical, affordability or persistence outcome.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India data suggests that clinical differentiation is translating into commercial relevance. Supplied IQVIA data shows Mounjaro value increasing from INR 3.68 billion in the March quarter to INR 4.30 billion in the June quarter, while volume increased from approximately 0.29 million to 0.33 million units. This makes tirzepatide larger in value than the total semaglutide market in the displayed June quarter.</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Affordability remains the limiting variable. Tirzepatide can retain specialist preference among patients prioritising efficacy, while low-priced semaglutide expands into a broader self-pay population. The two markets can therefore grow simultaneously. Generic semaglutide does not need to displace Mounjaro to become large, but Mounjaro and subsequent molecules constrain semaglutide’s ability to retain the highest-value patients.</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5. GLP-1 will reshape India’s anti-diabetic market, but not eliminate insulin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Our model estimates the Indian anti-diabetic market increasing from INR 225 billion in FY26 to INR 446 billion by FY31. Within that total, GLP-1 share rises from 6% to 36%. Insulin declines from 22% to 13%, classic therapies from 47% to 31%, DPP-4 inhibitors from 13% to 10%, and SGLT2 inhibitors from 12% to 11%.</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The insulin impact should be interpreted as a relative value-share shift, not direct patient substitution. GLP-1 and dual GIP/GLP-1 therapies can be used earlier because they provide weight reduction, glucose control and lower hypoglycaemia risk when used without insulin or secretagogues. Current diabetes guidance prioritises semaglutide or tirzepatide in appropriate patients with type 2 diabetes and obesity and recommends adjusting insulin or sulfonylurea doses when incretin therapy is added.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Insulin remains essential for type 1 diabetes, advanced beta-cell failure, severe hyperglycaemia, acute illness and patients unable to access or tolerate incretin therapies. Basal insulin may also be combined with GLP-1 therapy. The model therefore captures slower insulin-market growth and a larger total market, rather than insulin disappearance.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DPP-4 inhibitors face greater pressure because they offer modest glucose lowering, limited weight benefit and overlap with incretin biology. Sulfonylureas remain inexpensive but carry hypoglycaemia and weight-gain disadvantages. Metformin should remain a foundational low-cost therapy. SGLT2 inhibitors are better protected because their cardiovascular, renal and heart-failure benefits remain complementary to GLP-1. The principal shift is from a glucose-centred market toward combined weight, cardiovascular, renal and metabolic outcomes.</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5.1 Protein is a plausible adjacency, but the revenue causality remains unproven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Rapid weight reduction can include lean-mass loss, while lower appetite can reduce total protein intake. This creates a credible rationale for greater nutritional assessment, resistance exercise and sufficient protein consumption. Clinical guidance also recommends screening patients with material weight loss for malnutrition.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supplied Bernstein exhibit indicates the Indian supplement-protein market roughly doubling over the forecast period, with powdered protein remaining the largest category and faster growth in ready-to-drink products and bars. We view this as a broader health-and-wellness forecast, not a direct GLP-1 revenue model. GLP-1 may improve consumer awareness and physician-led nutritional counselling, but no evidence supports assigning a fixed percentage of protein-market growth to drug adoption.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Powders should capture the largest affordable opportunity. Ready-to-drink shakes offer convenience but face higher packaging and distribution costs. Bars, dairy, soy and clinical nutrition can benefit where companies combine protein with tolerability, portion control and muscle-preservation positioning. The commercial winners are more likely to be trusted nutrition brands with medical-channel distribution than generic supplement manufacturers.</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lastRenderedPageBreak/>
        <w:t>6. From hunger to satiety: the biology investors need to understand</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Hunger is produced by two overlapping systems. Homeostatic hunger responds to energy need. Hedonic eating responds to reward, availability and learned behaviour even when energy requirements are met. Satiation determines when a meal ends, while satiety determines how long hunger remains suppressed after eating.</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hypothalamus integrates these signals. In the arcuate nucleus, POMC/CART neurons reduce food intake, while NPY/AgRP neurons increase hunger. Reward circuits influence cravings and food preference. The brainstem, including the nucleus tractus solitarius and area postrema, receives hormonal and vagal signals from the gut and contributes to nausea, fullness and meal termination.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gut senses nutrients and releases hormones including GLP-1, GIP, PYY and CCK. GLP-1 signals satiety, delays gastric emptying and supports glucose-dependent insulin secretion. GIP is released after nutrient intake and acts on pancreatic and other tissues. Ghrelin rises before meals and stimulates hunger. Amylin is co-secreted with insulin and signals meal termination through the brainstem.</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pancreas determines the glucose response. GLP-1 and GIP increase insulin secretion when glucose is elevated. GLP-1 also reduces inappropriate glucagon release. This glucose dependence explains why incretin monotherapy generally creates less hypoglycaemia than insulin or sulfonylureas, although risk increases when therapies are combined.</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liver produces glucose and stores or exports lipids. Glucagon raises hepatic glucose output but can also increase energy expenditure and reduce liver fat when balanced with GLP-1 activity. This creates the rationale for mazdutide, survodutide and retatrutide, but also introduces a narrower balance between weight efficacy, glucose control, heart rate and tolerability.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Adipose tissue stores energy, while muscle is a major site of glucose disposal and determines much of functional lean mass. Weight-loss therapies reduce fat but can also reduce lean tissue. The next competitive benchmark is therefore moving from total scale weight toward visceral-fat loss, muscle preservation and functional outcomes.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primarily reduces energy intake through appetite and satiety pathways. Tirzepatide adds GIP receptor activity. Retatrutide and glucagon-containing dual agonists add a potential energy-expenditure and liver-fat component. CagriSema and zenagamtide combine GLP-1 with amylin biology to reinforce satiation through a complementary pathway. MariTide takes the different approach of GLP-1 agonism with GIP-receptor antagonism and infrequent dosing.</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INHBE encodes Activin E, a liver-derived signal associated with fat biology. Silencing INHBE aims to reduce visceral and total fat while preserving lean mass, rather than producing maximum appetite suppression. ALK7 is expressed in adipose tissue and influences fat storage and </w:t>
      </w:r>
      <w:r w:rsidRPr="007C2433">
        <w:rPr>
          <w:rFonts w:ascii="Times New Roman" w:eastAsia="Times New Roman" w:hAnsi="Times New Roman" w:cs="Times New Roman"/>
          <w:kern w:val="0"/>
          <w14:ligatures w14:val="none"/>
        </w:rPr>
        <w:lastRenderedPageBreak/>
        <w:t>mobilisation. These programmes may eventually complement incretins or maintain body composition after incretin-induced weight loss.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Adaptive thermogenesis explains why weight regain is common. After weight loss, hunger signals increase and energy expenditure can decline. The body therefore defends a higher historical weight. This is why convenience, tolerability and maintenance dosing may be as commercially important as maximum efficacy.</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7. The global non-RNA pipeline is moving beyond semaglutide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pipeline is separating into four value propositions: more efficacy, better tolerability, simpler oral delivery and less-frequent maintenance. Headline weight loss alone is an incomplete ranking because trial populations, duration, doses and estimands differ.</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Novo’s CagriSema combines semaglutide 2.4mg with cagrilintide 2.4mg. In REDEFINE 1, a phase 3 trial in adults with obesity or overweight without diabetes, the combination delivered 22.7% average weight reduction at 68 weeks under the hypothetical full-adherence estimand versus 2.3% with placebo. Novo filed the product in the US in December 2025. CagriSema later achieved 23% at 84 weeks in REDEFINE 4 but failed its prespecified non-inferiority comparison with tirzepatide, demonstrating that strong absolute efficacy does not ensure competitive superiority.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Zenagamtide, previously amycretin, is a single molecule activating GLP-1 and amylin receptors. Phase 3 obesity development began in 2026. Cagrilintide monotherapy has also entered phase 3 after producing 11.8% weight reduction at 68 weeks under the hypothetical estimand in a REDEFINE 1 analysis.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Lilly’s retatrutide combines GIP, GLP-1 and glucagon agonism. In the company-reported TRIUMPH-1 phase 3 trial, adults with obesity or overweight and a comorbidity without diabetes receiving 12mg lost 28.3% at 80 weeks, while the 4mg dose produced 19.0%. These are topline results and require full peer-reviewed analysis of treatment-policy outcomes and tolerability.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Orforglipron represents a different threat. It is a once-daily, non-peptide oral GLP-1 agonist that can be taken without food or water restrictions. The FDA approved it in April 2026. Its efficacy is below the leading injectable combinations, but scalable chemical manufacturing and convenient dosing could make it more relevant to price-sensitive mass markets.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Roche’s enicepatide, CT-388, is a weekly dual GIP/GLP-1 agonist. The phase 2 CT388-103 trial in adults with obesity or overweight and a comorbidity reported 22.5% placebo-adjusted weight loss at 48 weeks at 24mg under the efficacy estimand and 18.3% under the treatment-regimen estimand. Adverse-event discontinuation was 5.9% across CT-388 arms.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Petrelintide is a long-acting amylin analogue partnered by Zealand and Roche. ZUPREME-1 reported up to 10.7% weight reduction at 42 weeks versus 1.7% with placebo, with favourable gastrointestinal tolerability in the company-reported dataset. Roche is moving petrelintide and enicepatide toward phase 3 and plans combination development.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Amgen’s MariTide combines GLP-1-receptor agonism with GIP-receptor antagonism in a peptide-antibody conjugate. Its phase 2 study reported up to 19.9% weight reduction at 52 weeks under the efficacy estimand and 16.2% under the treatment-policy estimand in adults without diabetes. Dose escalation improved gastrointestinal tolerability, and the phase 3 MARITIME programme is underway. Its strategic differentiation is monthly or potentially less-frequent maintenance dosing.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Mazdutide is an Innovent-developed glucagon/GLP-1 dual agonist licensed from Lilly for China. GLORY-2 was a randomised, placebo-controlled phase 3 trial in 462 Chinese adults with obesity, including 16% with diabetes. Mazdutide 9mg produced 18.55% average weight reduction at 60 weeks versus 3.02% with placebo, with 2.9% discontinuing because of adverse events. Its China-specific evidence and liver-fat reduction make it strategically relevant for Asian populations, but we found no verified licensing or development relationship with Lupin or Zydus.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Survodutide is a weekly glucagon/GLP-1 dual agonist licensed by Zealand to Boehringer Ingelheim. It is in global phase 3 obesity and MASH programmes. The mechanism is designed to combine appetite reduction with direct hepatic and energy-expenditure effects. Its differentiation may be strongest in obesity with liver disease rather than pure headline weight loss.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Sun Pharma’s utreglutide, GL0034, is a once-weekly GLP-1 agonist in phase 2 development for obesity and type 2 diabetes. Early studies have shown glucose and weight effects, but the programme remains too early to include material value in a base-case India forecast. It gives Sun a genuine innovative-pipeline option that other domestic semaglutide entrants largely lack. </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8. RNA interference adds a body-composition and maintenance strategy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RNA interference uses short RNA molecules to reduce translation of a targeted messenger RNA. GalNAc conjugation directs the therapeutic toward liver cells through the asialoglycoprotein receptor. The treatment does not permanently edit DNA, but the biological effect can last for months because the silencing machinery remains active.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RNA editing changes an RNA transcript without permanently altering genomic DNA. CRISPR gene editing changes DNA and can create a durable or permanent effect. The latter offers potential one-time treatment but creates greater concern around irreversible off-target effects.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The liver is currently easier to target than brain or adipose tissue because GalNAc delivery to hepatocytes is clinically established. Adipose tissue has fewer proven delivery systems, while central nervous system delivery faces the blood-brain barrier. This explains why INHBE, a liver-expressed target, has reached clinical development before most appetite-control gene targets.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Wave’s WVE-007 is a GalNAc-siRNA targeting INHBE and Activin E. The INLIGHT phase 1/2a study is enrolling adults with overweight or obesity. Wave reported that a single 240mg dose produced approximately 14% placebo-adjusted visceral-fat reduction, 5% total-fat reduction, 2% lean-mass improvement and 1% body-weight reduction over six months. These company-reported data indicate body-composition activity rather than stand-alone obesity-level weight loss. Phase 2a began in June 2026, with combination and post-incretin maintenance studies planned.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Arrowhead’s ARO-INHBE uses the same broad biological target. Interim phase 1/2a data showed 9.4% weight loss at week 16 when combined with low-dose tirzepatide versus 4.8% with tirzepatide alone. The combination also produced 23.2% visceral-fat, 15.4% total-fat and 76.7% liver-fat reduction in the reported cohort. Monotherapy improved visceral fat with limited scale-weight change. These are small, early and company-reported cohorts, but they support combination development.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ARO-ALK7 directly targets an adipocyte-expressed gene. Arrowhead reported up to 88% mean ALK7 mRNA knockdown and early visceral-fat reduction. The first-in-human study remains early, and safety, durability and dose-response require confirmation. </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commercial opportunity is maintenance rather than outright incretin replacement. A twice-yearly therapy that preserves lean mass and limits visceral-fat regain could improve long-term outcomes after initial GLP-1 treatment. It may also address patients unable to tolerate high incretin doses. The limitation is that current monotherapy body-weight effects remain modest. These assets may improve the quality of weight loss without matching the scale-weight reduction of leading peptide combinations.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 duration creates a two-sided risk. It reduces adherence burden, but an adverse biological effect may persist for months. Other risks include liver or adipose delivery, immune reactions, off-target silencing, cost, manufacturing complexity and the heterogeneous biology of obesity. We found no sufficiently validated clinical CRISPR obesity programme to include in the investment case.</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9. India company implications: who captures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982"/>
        <w:gridCol w:w="1648"/>
        <w:gridCol w:w="1866"/>
        <w:gridCol w:w="1562"/>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Company</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Early position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Strategic advantage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Principal limitation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Classification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Torrent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Leading visible generic brands </w:t>
            </w:r>
            <w:r w:rsidRPr="007C2433">
              <w:rPr>
                <w:rFonts w:ascii="Times New Roman" w:eastAsia="Times New Roman" w:hAnsi="Times New Roman" w:cs="Times New Roman"/>
                <w:kern w:val="0"/>
                <w14:ligatures w14:val="none"/>
              </w:rPr>
              <w:lastRenderedPageBreak/>
              <w:t>across oral and injectable formats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Early launch, chronic-sales </w:t>
            </w:r>
            <w:r w:rsidRPr="007C2433">
              <w:rPr>
                <w:rFonts w:ascii="Times New Roman" w:eastAsia="Times New Roman" w:hAnsi="Times New Roman" w:cs="Times New Roman"/>
                <w:kern w:val="0"/>
                <w14:ligatures w14:val="none"/>
              </w:rPr>
              <w:lastRenderedPageBreak/>
              <w:t>reach, multi-format architecture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Lead may contain launch stocking; </w:t>
            </w:r>
            <w:r w:rsidRPr="007C2433">
              <w:rPr>
                <w:rFonts w:ascii="Times New Roman" w:eastAsia="Times New Roman" w:hAnsi="Times New Roman" w:cs="Times New Roman"/>
                <w:kern w:val="0"/>
                <w14:ligatures w14:val="none"/>
              </w:rPr>
              <w:lastRenderedPageBreak/>
              <w:t>no verified proprietary device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Early branded-generic leader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Lupin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Strong cartridge/injection position through Semanext and Livarise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Reusable format, peptide capacity, Zydus partnership, export potential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Dependence on partner technology and execution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and manufacturing differentiator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Zydus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Multiple brands and reusable-cartridge platform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Product development, device ecosystem, manufacturing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Fragmented brand architecture; ownership of device IP needs verification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Device-led differentiator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Sun Pharma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Generic pens plus utreglutide pipeline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Specialist reach, brand strength, innovative optionality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Generic semaglutide not an early category leader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Specialist and pipeline winner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Dr. Reddy’s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Obeda prefilled pen; export and API activity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Global filings, peptide/API and formulation optionality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Domestic early share modest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Export and manufacturing enabler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Eris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strength in pens and vials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Diabetes and specialist focus, visible format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Smaller distribution base; repeat demand unproven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Specialist-channel participant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Alkem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Prefilled-pen presence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Broad India distribution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clear differentiation beyond access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Broad-distribution participant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Abbott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Premium prefilled product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Physician trust and chronic-market access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Higher pricing and limited generic breadth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Premium branded participant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USV</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Pen-format participation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Diabetes-focused field force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Smaller scale and intense format competition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Specialist participant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Glenmark/Natco</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Vial presence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Lower-cost entry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 device moat; commoditisation risk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Access-led participants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MSN/Corona/Mankind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Later visible entry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Distribution or manufacturing scale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established early leadership in supplied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Broad participants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62% semaglutide value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Evidence, devices, brand and outcomes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Premium price and generic erosion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Innovator value leader</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Eli 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Mounjaro larger than semaglutide market in supplied quarter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Clinical efficacy, specialist confidence, pipeline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Affordability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Innovative clinical leader</w:t>
            </w:r>
          </w:p>
        </w:tc>
      </w:tr>
    </w:tbl>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highest-value Indian capability is unlikely to be peptide synthesis alone. Peptide manufacturing has export potential, but competition and capacity investment can compress returns. Device integration, stable formulation, fill-finish quality, regulatory dossiers, specialist reach and repeat-prescription support have higher commercial barriers.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Torrent currently has the strongest evidence of branded execution. Lupin and Zydus have the more credible device and manufacturing differentiation. Dr. Reddy’s has the clearest combined API, formulation and export optionality. Sun has the most valuable global innovation option among large Indian companies. Eris can benefit disproportionately if its specialist sales model produces durable pen and vial share. Companies launching one low-priced presentation through a general field force should receive little valuation credit until refill data emerges.</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9.1 Value-pool sensitivity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supplied cost framework suggests a large combined pool for device, commercialisation and operating profit. We would revise it for domestic India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442"/>
        <w:gridCol w:w="2172"/>
        <w:gridCol w:w="1609"/>
        <w:gridCol w:w="1304"/>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Value layer</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Relative barrier</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Commoditisation risk</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India margin potential</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Export potential</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Peptide/API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 to high initially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Rising as capacity expands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Formulation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Fill-finish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quality barrier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 to high at scale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when genuinely owned or integrated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 to medium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Distribution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Scale-based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Moderate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Specialist marketing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Relationship and evidence based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for durable brands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Patient support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Data and service based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Indirect but important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Undifferentiated vial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bl>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9.2 Revenue and operating-profit sensitivity</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following is a scenario, not a forecast. Market share is applied to the INR 138 billion FY31 category. A 20% EBITDA margin represents an illustrative competitive domestic outcome. A 34% margin represents the higher house economics framework and is more plausible for differentiated or export-oriented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314"/>
        <w:gridCol w:w="1781"/>
        <w:gridCol w:w="1796"/>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Share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Revenue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EBITDA at 20%</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EBITDA at 34%</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1.38bn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0.28bn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0.47bn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2.76bn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0.55bn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0.94bn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4.14bn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0.83bn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1.41bn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5%</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6.90bn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1.38bn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2.35bn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13.80bn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2.76bn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4.69bn</w:t>
            </w:r>
          </w:p>
        </w:tc>
      </w:tr>
    </w:tbl>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value is not identical to reported manufacturer revenue. Trade margins, taxes, channel inventory and net pricing can reduce reported sales. EPS sensitivity also requires company-specific tax, minority interest and share-count assumptions. We therefore do not present precise EPS estimates at this stage.</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10. What has changed since our initiation?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1697"/>
        <w:gridCol w:w="5062"/>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Original thesis</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Current assessment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Evidence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 adoption will be slower than the US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Partly 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 and generic share are growing, but not at a concentrated pace; persistence remains unmeasured</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Price will expand access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Generic volume has increased faster than value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Market will be highly fragmented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Numerous companies, brands, packs, strengths and formats entered immediately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Individual-company revenue will be limited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Partly 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share is dispersed, but mature leadership remains too early to assess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Innovators will retain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retained 62% of June-quarter semaglutide value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Devices will matter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Pen growth drove the largest incremental generic value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India treatment persistence will be lower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Too early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cohort refill or discontinuation evidence is available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Adoption will peak later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Too early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Three months cannot establish the peak</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will reduce insulin’s relative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Too early operationally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Strong clinical rationale, but FY31 outcome remains a Bernstein estimate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will accelerate protein demand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Too early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Biological rationale exists, direct commercial causality is unproven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Export economics will exceed domestic economics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Partly confirmed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Export-oriented API, fill-finish and device capabilities have higher barriers, but realised margins are undisclosed</w:t>
            </w:r>
          </w:p>
        </w:tc>
      </w:tr>
    </w:tbl>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assumption most at risk is that generic semaglutide itself will remain the central molecule long enough to support a stable five-year company ranking. Mounjaro is already larger by value in the supplied India quarter, and the global pipeline is advancing more quickly than our original genericisation framework implied. Semaglutide can build a large access market while losing the clinical frontier.</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11. Investment conclusion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India’s GLP-1 market can reach INR 138 billion by FY31, but its commercial architecture should remain fragmented. Generic semaglutide has reduced price, increased volume and created a meaningful new category. It has not created a single dominant domestic winner. Novo continues to retain substantial value, while tirzepatide is already larger in the supplied quarterly dataset.</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The next phase will be determined by format and persistence. Low-cost oral and vial products should expand access. Pens, cartridges and integrated devices should retain more value. Specialist access and patient support will determine whether launch prescriptions convert into chronic demand. The companies deserving premium valuation are those combining product breadth, reliable delivery, peptide or fill-finish capability and sustained commercial execution.</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Semaglutide’s strategic duration is also shorter than its market growth duration. Tirzepatide has direct head-to-head efficacy evidence. Retatrutide, CagriSema, enicepatide, MariTide, oral small molecules and amylin agents will compete on efficacy, tolerability and convenience. RNA programmes represent a second, speculative wave focused on body composition and maintenance rather than immediate maximum weight loss.</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Investors should monitor monthly value per unit, refill cohorts, innovator share, pen and cartridge mix, Mounjaro growth, net pricing, device availability and the movement from initial </w:t>
      </w:r>
      <w:r w:rsidRPr="007C2433">
        <w:rPr>
          <w:rFonts w:ascii="Times New Roman" w:eastAsia="Times New Roman" w:hAnsi="Times New Roman" w:cs="Times New Roman"/>
          <w:kern w:val="0"/>
          <w14:ligatures w14:val="none"/>
        </w:rPr>
        <w:lastRenderedPageBreak/>
        <w:t>stocking to repeat prescriptions. Those measures will determine whether India becomes a large profitable market or a large low-return category.</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Most important confirmed conclusions</w:t>
      </w:r>
    </w:p>
    <w:p w:rsidR="007C2433" w:rsidRPr="007C2433" w:rsidRDefault="007C2433" w:rsidP="007C2433">
      <w:pPr>
        <w:numPr>
          <w:ilvl w:val="0"/>
          <w:numId w:val="1"/>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Generic entry has expanded semaglutide volume faster than value. </w:t>
      </w:r>
    </w:p>
    <w:p w:rsidR="007C2433" w:rsidRPr="007C2433" w:rsidRDefault="007C2433" w:rsidP="007C2433">
      <w:pPr>
        <w:numPr>
          <w:ilvl w:val="0"/>
          <w:numId w:val="1"/>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The Indian market is fragmented across companies, brands, strengths and formats. </w:t>
      </w:r>
    </w:p>
    <w:p w:rsidR="007C2433" w:rsidRPr="007C2433" w:rsidRDefault="007C2433" w:rsidP="007C2433">
      <w:pPr>
        <w:numPr>
          <w:ilvl w:val="0"/>
          <w:numId w:val="1"/>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Novo Nordisk retains substantial economic share despite compound-patent expiry. </w:t>
      </w:r>
    </w:p>
    <w:p w:rsidR="007C2433" w:rsidRPr="007C2433" w:rsidRDefault="007C2433" w:rsidP="007C2433">
      <w:pPr>
        <w:numPr>
          <w:ilvl w:val="0"/>
          <w:numId w:val="1"/>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Pens and cartridges are capturing more value than low-cost formats. </w:t>
      </w:r>
    </w:p>
    <w:p w:rsidR="007C2433" w:rsidRPr="007C2433" w:rsidRDefault="007C2433" w:rsidP="007C2433">
      <w:pPr>
        <w:numPr>
          <w:ilvl w:val="0"/>
          <w:numId w:val="1"/>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Tirzepatide remains clinically and commercially relevant after semaglutide genericisation. </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Most important open questions</w:t>
      </w:r>
    </w:p>
    <w:p w:rsidR="007C2433" w:rsidRPr="007C2433" w:rsidRDefault="007C2433" w:rsidP="007C2433">
      <w:pPr>
        <w:numPr>
          <w:ilvl w:val="0"/>
          <w:numId w:val="2"/>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What percentage of first-quarter prescriptions refill after three and six months? </w:t>
      </w:r>
    </w:p>
    <w:p w:rsidR="007C2433" w:rsidRPr="007C2433" w:rsidRDefault="007C2433" w:rsidP="007C2433">
      <w:pPr>
        <w:numPr>
          <w:ilvl w:val="0"/>
          <w:numId w:val="2"/>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How quickly will branded-generic net prices decline? </w:t>
      </w:r>
    </w:p>
    <w:p w:rsidR="007C2433" w:rsidRPr="007C2433" w:rsidRDefault="007C2433" w:rsidP="007C2433">
      <w:pPr>
        <w:numPr>
          <w:ilvl w:val="0"/>
          <w:numId w:val="2"/>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Can Torrent retain leadership after launch inventory normalises? </w:t>
      </w:r>
    </w:p>
    <w:p w:rsidR="007C2433" w:rsidRPr="007C2433" w:rsidRDefault="007C2433" w:rsidP="007C2433">
      <w:pPr>
        <w:numPr>
          <w:ilvl w:val="0"/>
          <w:numId w:val="2"/>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Do reusable devices generate durable switching costs in India? </w:t>
      </w:r>
    </w:p>
    <w:p w:rsidR="007C2433" w:rsidRPr="007C2433" w:rsidRDefault="007C2433" w:rsidP="007C2433">
      <w:pPr>
        <w:numPr>
          <w:ilvl w:val="0"/>
          <w:numId w:val="2"/>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How quickly will oral small molecules and newer dual or triple agonists reach India? </w:t>
      </w:r>
    </w:p>
    <w:p w:rsidR="007C2433" w:rsidRPr="007C2433" w:rsidRDefault="007C2433" w:rsidP="007C243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2433">
        <w:rPr>
          <w:rFonts w:ascii="Times New Roman" w:eastAsia="Times New Roman" w:hAnsi="Times New Roman" w:cs="Times New Roman"/>
          <w:b/>
          <w:bCs/>
          <w:kern w:val="0"/>
          <w:sz w:val="27"/>
          <w:szCs w:val="27"/>
          <w14:ligatures w14:val="none"/>
        </w:rPr>
        <w:t>What would change our view</w:t>
      </w:r>
    </w:p>
    <w:p w:rsidR="007C2433" w:rsidRPr="007C2433" w:rsidRDefault="007C2433" w:rsidP="007C2433">
      <w:pPr>
        <w:numPr>
          <w:ilvl w:val="0"/>
          <w:numId w:val="3"/>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 leading generic sustaining more than 10% category value share for four consecutive quarters. </w:t>
      </w:r>
    </w:p>
    <w:p w:rsidR="007C2433" w:rsidRPr="007C2433" w:rsidRDefault="007C2433" w:rsidP="007C2433">
      <w:pPr>
        <w:numPr>
          <w:ilvl w:val="0"/>
          <w:numId w:val="3"/>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Refill and persistence data materially above our self-pay-market assumptions. </w:t>
      </w:r>
    </w:p>
    <w:p w:rsidR="007C2433" w:rsidRPr="007C2433" w:rsidRDefault="007C2433" w:rsidP="007C2433">
      <w:pPr>
        <w:numPr>
          <w:ilvl w:val="0"/>
          <w:numId w:val="3"/>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Generic pen prices converging with vial prices without sacrificing margin. </w:t>
      </w:r>
    </w:p>
    <w:p w:rsidR="007C2433" w:rsidRPr="007C2433" w:rsidRDefault="007C2433" w:rsidP="007C2433">
      <w:pPr>
        <w:numPr>
          <w:ilvl w:val="0"/>
          <w:numId w:val="3"/>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Innovator semaglutide share falling below 30% while total market value continues growing. </w:t>
      </w:r>
    </w:p>
    <w:p w:rsidR="007C2433" w:rsidRPr="007C2433" w:rsidRDefault="007C2433" w:rsidP="007C2433">
      <w:pPr>
        <w:numPr>
          <w:ilvl w:val="0"/>
          <w:numId w:val="3"/>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Indian companies securing verified proprietary devices or global rights to differentiated obesity assets. </w:t>
      </w:r>
    </w:p>
    <w:p w:rsidR="007C2433" w:rsidRPr="007C2433" w:rsidRDefault="006E4C72" w:rsidP="007C2433">
      <w:pPr>
        <w:rPr>
          <w:rFonts w:ascii="Times New Roman" w:eastAsia="Times New Roman" w:hAnsi="Times New Roman" w:cs="Times New Roman"/>
          <w:kern w:val="0"/>
          <w14:ligatures w14:val="none"/>
        </w:rPr>
      </w:pPr>
      <w:r w:rsidRPr="006E4C72">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7C2433" w:rsidRPr="007C2433" w:rsidRDefault="007C2433" w:rsidP="007C243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2433">
        <w:rPr>
          <w:rFonts w:ascii="Times New Roman" w:eastAsia="Times New Roman" w:hAnsi="Times New Roman" w:cs="Times New Roman"/>
          <w:b/>
          <w:bCs/>
          <w:kern w:val="0"/>
          <w:sz w:val="36"/>
          <w:szCs w:val="36"/>
          <w14:ligatures w14:val="none"/>
        </w:rPr>
        <w:t>Proposed additional exhibits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771"/>
        <w:gridCol w:w="1411"/>
        <w:gridCol w:w="2499"/>
        <w:gridCol w:w="1819"/>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Proposed exhibit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Data required</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Chart type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Core investor message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Source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 market timeline after expiry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Patent, approvals, launches, pricing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Timeline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Supply expanded immediately after 20 March 2026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Court records, CDSCO, companies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Value-volume-price bridge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Monthly value, units, implied value/unit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Waterfall and line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Volume growth is not equal to revenue growth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Share by company and format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 and volume by brand and format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Heat map</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Leadership differs across oral, pen, vial and cartridge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Innovator versus generic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Monthly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Stacked bars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Innovator erosion is gradual, not immediate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Refill cohort analysis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New starts and monthly refills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Survival curve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Persistence determines mature market size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channel data</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versus tirzepatide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Price, value, volume,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Comparative matrix</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Clinical and commercial leadership differ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SURMOUNT-5</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 versus US adoption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Patients, price and coverage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Indexed curve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 should peak later and at lower value per patient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US claims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Format economics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Cost and margin by presentation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Waterfall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and commercial layers retain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Companies, Bernstein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Anti-diabetic share shift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FY26–FY31 therapy shares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Stacked bars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expands the market and reduces insulin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Mechanism matrix</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Receptors and physiological effects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Matrix</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New assets target efficacy, tolerability and body composition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Publications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 versus discontinuation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Trial result and withdrawal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Scatter plot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Maximum efficacy must be adjusted for tolerability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Trial publications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Global launch timing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Development phase and catalyst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Gantt chart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faces successive innovation waves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Companies, registries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RNA pipeline comparison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Target, fat, muscle and weight effects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Bubble chart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RNA assets may complement rather than replace incretins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Companies, registries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India winner matrix</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Device, API, sales reach, early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Scorecard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Capabilities, not launch count, determine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companies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Value-pool waterfall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API through operating profit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Waterfall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Profit shifts toward device and commercialisation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estimates</w:t>
            </w:r>
          </w:p>
        </w:tc>
      </w:tr>
    </w:tbl>
    <w:p w:rsidR="007C2433" w:rsidRPr="007C2433" w:rsidRDefault="007C2433" w:rsidP="007C243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C2433">
        <w:rPr>
          <w:rFonts w:ascii="Times New Roman" w:eastAsia="Times New Roman" w:hAnsi="Times New Roman" w:cs="Times New Roman"/>
          <w:b/>
          <w:bCs/>
          <w:kern w:val="36"/>
          <w:sz w:val="48"/>
          <w:szCs w:val="48"/>
          <w14:ligatures w14:val="none"/>
        </w:rPr>
        <w:t>OUTPUT 2: GLOBAL PIPELINE MASTER TABLE</w:t>
      </w:r>
    </w:p>
    <w:p w:rsidR="007C2433" w:rsidRPr="007C2433" w:rsidRDefault="007C2433" w:rsidP="007C2433">
      <w:p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i/>
          <w:iCs/>
          <w:kern w:val="0"/>
          <w14:ligatures w14:val="none"/>
        </w:rPr>
        <w:t>Cross-trial efficacy is not directly comparable because populations, duration, dose, comparator and estimand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66"/>
        <w:gridCol w:w="960"/>
        <w:gridCol w:w="772"/>
        <w:gridCol w:w="713"/>
        <w:gridCol w:w="985"/>
        <w:gridCol w:w="729"/>
        <w:gridCol w:w="854"/>
        <w:gridCol w:w="1247"/>
        <w:gridCol w:w="785"/>
        <w:gridCol w:w="787"/>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lastRenderedPageBreak/>
              <w:t>Asset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Code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Sponsor / partner</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Mechanism</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Route / frequency</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Phase or status</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Latest material evidence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Next catalyst / plausible timing</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India relevance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Main advantage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Main risk</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7.2mg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NN9536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Approved/submitted in major markets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20.7% mean loss under full-adherence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Further launches from 2026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Premium innovator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Familiar molecule, higher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 tolerability, generic 2.4mg price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semaglutide 25mg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NN9932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oral peptide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Approved US obesity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16.6% full-adherence 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International filings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premium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Established outcomes platform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Administration restrictions, peptide cost</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CagriSema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NN9388/NN9838</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plus amylin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Submitted /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REDEFINE 1: 22.7% vs 2.3% at 68 weeks, hypothetical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Regulatory decisions 2026–27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Later premium India market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Complementary satiety pathway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Failed REDEFINE 4 non-inferiority vs tirzepatide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Cagrilintide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NN9833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Amylin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11.8% vs 2.3% at 68 weeks in analysis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RENEW programme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Alternative for GLP-1 intolerance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tolerability differentiation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 efficacy as monotherapy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Zenagamtide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NN9487/NN9490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Unimolecular GLP-</w:t>
            </w:r>
            <w:r w:rsidRPr="007C2433">
              <w:rPr>
                <w:rFonts w:ascii="Times New Roman" w:eastAsia="Times New Roman" w:hAnsi="Times New Roman" w:cs="Times New Roman"/>
                <w:kern w:val="0"/>
                <w14:ligatures w14:val="none"/>
              </w:rPr>
              <w:lastRenderedPageBreak/>
              <w:t>1/amylin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Oral and </w:t>
            </w:r>
            <w:r w:rsidRPr="007C2433">
              <w:rPr>
                <w:rFonts w:ascii="Times New Roman" w:eastAsia="Times New Roman" w:hAnsi="Times New Roman" w:cs="Times New Roman"/>
                <w:kern w:val="0"/>
                <w14:ligatures w14:val="none"/>
              </w:rPr>
              <w:lastRenderedPageBreak/>
              <w:t>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Phase 3 obesity initiated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Phase 2 T2D weight </w:t>
            </w:r>
            <w:r w:rsidRPr="007C2433">
              <w:rPr>
                <w:rFonts w:ascii="Times New Roman" w:eastAsia="Times New Roman" w:hAnsi="Times New Roman" w:cs="Times New Roman"/>
                <w:kern w:val="0"/>
                <w14:ligatures w14:val="none"/>
              </w:rPr>
              <w:lastRenderedPageBreak/>
              <w:t>loss up to 14.6% at 36 weeks at highest reported injection dose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Phase 3 readout</w:t>
            </w:r>
            <w:r w:rsidRPr="007C2433">
              <w:rPr>
                <w:rFonts w:ascii="Times New Roman" w:eastAsia="Times New Roman" w:hAnsi="Times New Roman" w:cs="Times New Roman"/>
                <w:kern w:val="0"/>
                <w14:ligatures w14:val="none"/>
              </w:rPr>
              <w:lastRenderedPageBreak/>
              <w:t>s later decade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Potential multi-format </w:t>
            </w:r>
            <w:r w:rsidRPr="007C2433">
              <w:rPr>
                <w:rFonts w:ascii="Times New Roman" w:eastAsia="Times New Roman" w:hAnsi="Times New Roman" w:cs="Times New Roman"/>
                <w:kern w:val="0"/>
                <w14:ligatures w14:val="none"/>
              </w:rPr>
              <w:lastRenderedPageBreak/>
              <w:t>premium product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Single-molecule dual </w:t>
            </w:r>
            <w:r w:rsidRPr="007C2433">
              <w:rPr>
                <w:rFonts w:ascii="Times New Roman" w:eastAsia="Times New Roman" w:hAnsi="Times New Roman" w:cs="Times New Roman"/>
                <w:kern w:val="0"/>
                <w14:ligatures w14:val="none"/>
              </w:rPr>
              <w:lastRenderedPageBreak/>
              <w:t>biology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Development </w:t>
            </w:r>
            <w:r w:rsidRPr="007C2433">
              <w:rPr>
                <w:rFonts w:ascii="Times New Roman" w:eastAsia="Times New Roman" w:hAnsi="Times New Roman" w:cs="Times New Roman"/>
                <w:kern w:val="0"/>
                <w14:ligatures w14:val="none"/>
              </w:rPr>
              <w:lastRenderedPageBreak/>
              <w:t>complexity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IcoSema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NN1535</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insulin icodec plus semaglutide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Approved EU diabetes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Glycaemic and weight combination evidence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Geographic launches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Relevant to insulin displacement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Simplified insulin/GLP-1 regimen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Hypoglycaemia and titration complexity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Tirzepatide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LY3298176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Eli 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GIP/GLP-1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Marketed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SURMOUNT-5: 20.2% vs semaglutide 13.7% at 72 weeks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Lifecycle and outcomes expansion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Already major India product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Direct efficacy benchmark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Price and GI tolerability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Orforglipron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LY3502970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Eli 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Non-peptide 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oral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FDA-approved April 2026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ATTAIN phase 3 supports low-double-digit </w:t>
            </w:r>
            <w:r w:rsidRPr="007C2433">
              <w:rPr>
                <w:rFonts w:ascii="Times New Roman" w:eastAsia="Times New Roman" w:hAnsi="Times New Roman" w:cs="Times New Roman"/>
                <w:kern w:val="0"/>
                <w14:ligatures w14:val="none"/>
              </w:rPr>
              <w:lastRenderedPageBreak/>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Global filings and launches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Potentially high due scalable oral route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No food/water restriction; chemical </w:t>
            </w:r>
            <w:r w:rsidRPr="007C2433">
              <w:rPr>
                <w:rFonts w:ascii="Times New Roman" w:eastAsia="Times New Roman" w:hAnsi="Times New Roman" w:cs="Times New Roman"/>
                <w:kern w:val="0"/>
                <w14:ligatures w14:val="none"/>
              </w:rPr>
              <w:lastRenderedPageBreak/>
              <w:t>manufacturing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Lower efficacy than leading injections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Retatrutide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LY3437943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Eli 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GIP/GLP-1/glucagon triple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TRIUMPH-1 topline: 28.3% at 80 weeks, 12mg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Regulatory submissions after full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Future high-efficacy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bariatric-range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 effects, heart rate, full dataset pending</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Enicepatide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CT-388</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Roche/Carmot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GIP/GLP-1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Moving to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22.5% placebo-adjusted at 48 weeks, efficacy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 initiation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Longer-term premium market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 reported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Competitive late entry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CT-996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CT-996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Roche/Carmot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small-molecule 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oral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clinical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mature efficacy data disclosed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development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mass-market relevance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Scalable oral chemistry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Liver safety and efficacy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Petrelintide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ZP8396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Roche/Zealand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Long-acting amylin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Moving to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ZUPREME-1: up to 10.7% at 42 weeks vs </w:t>
            </w:r>
            <w:r w:rsidRPr="007C2433">
              <w:rPr>
                <w:rFonts w:ascii="Times New Roman" w:eastAsia="Times New Roman" w:hAnsi="Times New Roman" w:cs="Times New Roman"/>
                <w:kern w:val="0"/>
                <w14:ligatures w14:val="none"/>
              </w:rPr>
              <w:lastRenderedPageBreak/>
              <w:t>1.7% placebo</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Phase 3 and CT-388 combinations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tolerability-led niche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Appetite effect with potentially lower GI burden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Lower monotherapy efficacy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Ribupatide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KAI-9531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Kailera/Hengrui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GIP/GLP-1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Global phase 3 KaiNETIC underway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 data later decade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licensed India product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Competitive dual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Crowded class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ribupatide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KAI-9531-T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Kailera/Hengrui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peptide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oral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 up to 12.1% at 26 weeks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 possible 1H27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alternative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Dual biology in oral form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Absorption and scale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KAI-7535</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KAI-7535</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Kailera/Hengrui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Oral small-molecule GLP-1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Daily oral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public efficacy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readout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price-relevant asset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Manufacturing scalability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Competitive differentiation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KAI-4729</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KAI-4729</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Kailera/Hengrui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Triple incretin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Injectable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Preclinical/phase 1 planning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clinical efficacy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First-in-human planned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Long-dated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Multi-receptor potential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Early-stage risk</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Survodutide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BI 456906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Boehringer/Zealand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GLP-1/glucagon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established weight and liver-fat effects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SYNCHRONIZE and MASH readouts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Relevant to India’s metabolic-liver burden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Liver and energy-expenditure profile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Glucagon balance and GI tolerability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MariTide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AMG 133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Amgen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agonist/GIPR antagonist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Monthly or less frequent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up to 19.9% efficacy-estimand loss at 52 weeks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MARITIME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Premium maintenance segment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Infrequent dosing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Antibody complexity and initial GI effects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Mazdutide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IBI362/OXM3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Innovent; licensed from Lilly for China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GLP-1/glucagon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Approved in China at some doses; 9mg under review</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GLORY-2: 18.55% at 60 weeks vs 3.02% placebo</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9mg decision in China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Asian evidence relevant; no Indian license verified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and liver-fat effect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Geographic rights and glucagon tolerability</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Utreglutide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GL0034</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Sun Pharma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 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Weekly injection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phase 1b/2a weight and metabolic activity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2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Direct Indian pipeline optionality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Domestic ownership and specialist reach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stage, crowded class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WVE-007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WVE-007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Wave Life Sciences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INHBE/Activin E siRNA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Subcutaneous, potentially 1–2 times yearly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1/2a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Early data: visceral fat reduction with lean-mass </w:t>
            </w:r>
            <w:r w:rsidRPr="007C2433">
              <w:rPr>
                <w:rFonts w:ascii="Times New Roman" w:eastAsia="Times New Roman" w:hAnsi="Times New Roman" w:cs="Times New Roman"/>
                <w:kern w:val="0"/>
                <w14:ligatures w14:val="none"/>
              </w:rPr>
              <w:lastRenderedPageBreak/>
              <w:t>preservation; low scale-weight effect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Phase 2a and combination studies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Long-dated maintenance potential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Body-composition differentiation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Limited monotherapy weight reduction</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ARO-INHBE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ARO-INHBE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Arrowhead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INHBE siRNA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Infrequent subcutaneous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1/2a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Combination with tirzepatide: 9.4% weight loss at week 16 vs 4.8% control cohort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Larger controlled studies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Combination/maintenance potential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Visceral and liver-fat effects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Small early cohorts</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ARO-ALK7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ARO-ALK7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Arrowhead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Adipocyte ALK7 RNAi</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Infrequent subcutaneous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Phase 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Early human target knockdown and visceral-fat activity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Dose escalation and efficacy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Potential direct adipose targeting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Novel tissue delivery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Safety and durability unproven</w:t>
            </w:r>
          </w:p>
        </w:tc>
      </w:tr>
    </w:tbl>
    <w:p w:rsidR="007C2433" w:rsidRPr="007C2433" w:rsidRDefault="007C2433" w:rsidP="007C243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C2433">
        <w:rPr>
          <w:rFonts w:ascii="Times New Roman" w:eastAsia="Times New Roman" w:hAnsi="Times New Roman" w:cs="Times New Roman"/>
          <w:b/>
          <w:bCs/>
          <w:kern w:val="36"/>
          <w:sz w:val="48"/>
          <w:szCs w:val="48"/>
          <w14:ligatures w14:val="none"/>
        </w:rPr>
        <w:t>OUTPUT 3: NOMENCLATURE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5628"/>
        <w:gridCol w:w="1235"/>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Dictated or uncertain name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Verified conclusion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Confidence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Semaglutide attributed to 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Incorrect. Semaglutide belongs to Novo Nordisk.</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Tirzepatide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Correct. Eli Lilly dual GIP/GLP-1 agonist, marketed as Mounjaro for diabetes and Zepbound for obesity in relevant markets.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Enzepatide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Most likely </w:t>
            </w:r>
            <w:r w:rsidRPr="007C2433">
              <w:rPr>
                <w:rFonts w:ascii="Times New Roman" w:eastAsia="Times New Roman" w:hAnsi="Times New Roman" w:cs="Times New Roman"/>
                <w:b/>
                <w:bCs/>
                <w:kern w:val="0"/>
                <w14:ligatures w14:val="none"/>
              </w:rPr>
              <w:t>enicepatide</w:t>
            </w:r>
            <w:r w:rsidRPr="007C2433">
              <w:rPr>
                <w:rFonts w:ascii="Times New Roman" w:eastAsia="Times New Roman" w:hAnsi="Times New Roman" w:cs="Times New Roman"/>
                <w:kern w:val="0"/>
                <w14:ligatures w14:val="none"/>
              </w:rPr>
              <w:t>, CT-388, Roche/Carmot dual GIP/GLP-1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Calera Therapeutics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Most likely </w:t>
            </w:r>
            <w:r w:rsidRPr="007C2433">
              <w:rPr>
                <w:rFonts w:ascii="Times New Roman" w:eastAsia="Times New Roman" w:hAnsi="Times New Roman" w:cs="Times New Roman"/>
                <w:b/>
                <w:bCs/>
                <w:kern w:val="0"/>
                <w14:ligatures w14:val="none"/>
              </w:rPr>
              <w:t>Kailera Therapeutics</w:t>
            </w: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Manidate by Amgen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b/>
                <w:bCs/>
                <w:kern w:val="0"/>
                <w14:ligatures w14:val="none"/>
              </w:rPr>
              <w:t>MariTide</w:t>
            </w:r>
            <w:r w:rsidRPr="007C2433">
              <w:rPr>
                <w:rFonts w:ascii="Times New Roman" w:eastAsia="Times New Roman" w:hAnsi="Times New Roman" w:cs="Times New Roman"/>
                <w:kern w:val="0"/>
                <w14:ligatures w14:val="none"/>
              </w:rPr>
              <w:t>, generic name maridebart cafraglutide, formerly AMG 133.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Masurutide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b/>
                <w:bCs/>
                <w:kern w:val="0"/>
                <w14:ligatures w14:val="none"/>
              </w:rPr>
              <w:t>Mazdutide</w:t>
            </w:r>
            <w:r w:rsidRPr="007C2433">
              <w:rPr>
                <w:rFonts w:ascii="Times New Roman" w:eastAsia="Times New Roman" w:hAnsi="Times New Roman" w:cs="Times New Roman"/>
                <w:kern w:val="0"/>
                <w14:ligatures w14:val="none"/>
              </w:rPr>
              <w:t>, IBI362/OXM3.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WaveLife Science P11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b/>
                <w:bCs/>
                <w:kern w:val="0"/>
                <w14:ligatures w14:val="none"/>
              </w:rPr>
              <w:t>Wave Life Sciences WVE-007</w:t>
            </w:r>
            <w:r w:rsidRPr="007C2433">
              <w:rPr>
                <w:rFonts w:ascii="Times New Roman" w:eastAsia="Times New Roman" w:hAnsi="Times New Roman" w:cs="Times New Roman"/>
                <w:kern w:val="0"/>
                <w14:ligatures w14:val="none"/>
              </w:rPr>
              <w:t>, INHBE/Activin E siRNA.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Oltregutide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Most likely </w:t>
            </w:r>
            <w:r w:rsidRPr="007C2433">
              <w:rPr>
                <w:rFonts w:ascii="Times New Roman" w:eastAsia="Times New Roman" w:hAnsi="Times New Roman" w:cs="Times New Roman"/>
                <w:b/>
                <w:bCs/>
                <w:kern w:val="0"/>
                <w14:ligatures w14:val="none"/>
              </w:rPr>
              <w:t>utreglutide</w:t>
            </w:r>
            <w:r w:rsidRPr="007C2433">
              <w:rPr>
                <w:rFonts w:ascii="Times New Roman" w:eastAsia="Times New Roman" w:hAnsi="Times New Roman" w:cs="Times New Roman"/>
                <w:kern w:val="0"/>
                <w14:ligatures w14:val="none"/>
              </w:rPr>
              <w:t>, GL0034, developed by Sun Pharma.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Ciranbio P1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sufficiently credible match identified. Excluded from published narrative.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Extreme Deep</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verified obesity company or asset identified. Excluded.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Bohanglutide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high-confidence asset identification. Excluded.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Lupin or Zydus relationship with mazdutide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 verified development, licensing or manufacturing relationship identified.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Ribupatide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Correct name for KAI-9531, Kailera/Hengrui dual agonist.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Amycretin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Previous name for Novo Nordisk’s </w:t>
            </w:r>
            <w:r w:rsidRPr="007C2433">
              <w:rPr>
                <w:rFonts w:ascii="Times New Roman" w:eastAsia="Times New Roman" w:hAnsi="Times New Roman" w:cs="Times New Roman"/>
                <w:b/>
                <w:bCs/>
                <w:kern w:val="0"/>
                <w14:ligatures w14:val="none"/>
              </w:rPr>
              <w:t>zenagamtide</w:t>
            </w: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bl>
    <w:p w:rsidR="007C2433" w:rsidRPr="007C2433" w:rsidRDefault="007C2433" w:rsidP="007C243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C2433">
        <w:rPr>
          <w:rFonts w:ascii="Times New Roman" w:eastAsia="Times New Roman" w:hAnsi="Times New Roman" w:cs="Times New Roman"/>
          <w:b/>
          <w:bCs/>
          <w:kern w:val="36"/>
          <w:sz w:val="48"/>
          <w:szCs w:val="48"/>
          <w14:ligatures w14:val="none"/>
        </w:rPr>
        <w:t>OUTPUT 4: INTERNAL FACT-CHECK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199"/>
        <w:gridCol w:w="1085"/>
        <w:gridCol w:w="1554"/>
        <w:gridCol w:w="1579"/>
        <w:gridCol w:w="1338"/>
        <w:gridCol w:w="1176"/>
      </w:tblGrid>
      <w:tr w:rsidR="007C2433" w:rsidRPr="007C2433" w:rsidTr="007C2433">
        <w:trPr>
          <w:tblHeader/>
          <w:tblCellSpacing w:w="15" w:type="dxa"/>
        </w:trPr>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Claim</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Value / period</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Unit</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Source</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Classification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Qualification</w:t>
            </w:r>
          </w:p>
        </w:tc>
        <w:tc>
          <w:tcPr>
            <w:tcW w:w="0" w:type="auto"/>
            <w:vAlign w:val="center"/>
            <w:hideMark/>
          </w:tcPr>
          <w:p w:rsidR="007C2433" w:rsidRPr="007C2433" w:rsidRDefault="007C2433" w:rsidP="007C2433">
            <w:pPr>
              <w:jc w:val="center"/>
              <w:rPr>
                <w:rFonts w:ascii="Times New Roman" w:eastAsia="Times New Roman" w:hAnsi="Times New Roman" w:cs="Times New Roman"/>
                <w:b/>
                <w:bCs/>
                <w:kern w:val="0"/>
                <w14:ligatures w14:val="none"/>
              </w:rPr>
            </w:pPr>
            <w:r w:rsidRPr="007C2433">
              <w:rPr>
                <w:rFonts w:ascii="Times New Roman" w:eastAsia="Times New Roman" w:hAnsi="Times New Roman" w:cs="Times New Roman"/>
                <w:b/>
                <w:bCs/>
                <w:kern w:val="0"/>
                <w14:ligatures w14:val="none"/>
              </w:rPr>
              <w:t>Confidence</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Principal patent expiry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20 Mar 2026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Court/patent records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Regulatory/legal fact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Process and device rights may remain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March launches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20 brands, 55 packs, 11 companies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Count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Launches may include initial stocking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April additions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 brands, 22 packs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Count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Pack definition per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February market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610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million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Innovator-only displayed market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March market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700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million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Rounded chart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April market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950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million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April values based on PTR in exhibit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April generic value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Innovator price revision effective later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April generic volume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Units do not equal patients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June-quarter sema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2.81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billion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Sum of 1.74 innovator and 1.07 generic</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June-quarter innovator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62%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 share, not volume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June-quarter Mounjaro value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4.30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billion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Quarter-ending June 2026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Mounjaro value growth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QoQ</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Versus March quarter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June-quarter sema volumes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Displayed totals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Units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Do not reconcile with April monthly panel; use directionally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FY31 India GLP-1 market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138</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billion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Includes category, not one molecule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IPM contribution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Forecast-period contribution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Leading company revenue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3–4</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billion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Implies 2.2–2.9% category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Anti-diabetic FY31 market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446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INR billion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Based on supplied exhibit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GLP-1 share FY26/FY31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6% / 36%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Value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Insulin share FY26/FY31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22% / 13%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model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Nine-point, 41% relative decline, not 50%</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Torrent early leadership</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Multiple leading displayed brands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Directional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IQVIA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IQVIA data</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Does not prove sustainable share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Lupin/Zydus reusable format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15mg/3mL cartridge arrangement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Product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 disclosure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Proprietary ownership not established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SURMOUNT-5 result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20.2% vs 13.7%</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NEJM/Lilly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Peer-reviewed clinical evidence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72 weeks, obesity without diabetes, treatment-regimen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CagriSema REDEFINE 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22.7% vs 2.3%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Novo</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Hypothetical adherence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Retatrutide TRIUMPH-1</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28.3% at 80 weeks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Lilly</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 phase 3</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Topline; full peer review pending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Enicepatide 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22.5% placebo-adjusted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Roche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 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48 weeks, 24mg, efficacy estimand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MariTide phase 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Up to 19.9%</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Amgen/NEJM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Clinical evidence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52 weeks, efficacy estimand; treatment-policy lower</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Mazdutide GLORY-2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18.55% vs 3.02%</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 loss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JAMA/Innovent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Peer-reviewed clinical evidence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60 weeks, Chinese adults, 9mg</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High</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WVE-007 body composition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-14% visceral fat, -5% total fat, +2% lean mass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Wave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 early clinical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Small early cohort, six months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ARO-INHBE combination</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-9.4% vs -4.8%</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Weight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Arrowhead</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Company-reported early clinical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Small cohort, low-dose tirzepatide, week 16</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Medium</w:t>
            </w:r>
          </w:p>
        </w:tc>
      </w:tr>
      <w:tr w:rsidR="007C2433" w:rsidRPr="007C2433" w:rsidTr="007C2433">
        <w:trPr>
          <w:tblCellSpacing w:w="15" w:type="dxa"/>
        </w:trPr>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Protein market growth</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Roughly doubles</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Directional</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exhibit</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Bernstein estimate</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Exhibit title and bars are inconsistent; avoid precise 50% claim</w:t>
            </w:r>
          </w:p>
        </w:tc>
        <w:tc>
          <w:tcPr>
            <w:tcW w:w="0" w:type="auto"/>
            <w:vAlign w:val="center"/>
            <w:hideMark/>
          </w:tcPr>
          <w:p w:rsidR="007C2433" w:rsidRPr="007C2433" w:rsidRDefault="007C2433" w:rsidP="007C2433">
            <w:pPr>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Low-medium</w:t>
            </w:r>
          </w:p>
        </w:tc>
      </w:tr>
    </w:tbl>
    <w:p w:rsidR="007C2433" w:rsidRPr="007C2433" w:rsidRDefault="007C2433" w:rsidP="007C243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C2433">
        <w:rPr>
          <w:rFonts w:ascii="Times New Roman" w:eastAsia="Times New Roman" w:hAnsi="Times New Roman" w:cs="Times New Roman"/>
          <w:b/>
          <w:bCs/>
          <w:kern w:val="36"/>
          <w:sz w:val="48"/>
          <w:szCs w:val="48"/>
          <w14:ligatures w14:val="none"/>
        </w:rPr>
        <w:t>OUTPUT 5: SOURCE APPENDIX</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Delhi High Court and related patent reporting on IN262697 and semaglutide manufacturing/export litigation, 2025–2026.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Novo Nordisk, </w:t>
      </w:r>
      <w:r w:rsidRPr="007C2433">
        <w:rPr>
          <w:rFonts w:ascii="Times New Roman" w:eastAsia="Times New Roman" w:hAnsi="Times New Roman" w:cs="Times New Roman"/>
          <w:i/>
          <w:iCs/>
          <w:kern w:val="0"/>
          <w14:ligatures w14:val="none"/>
        </w:rPr>
        <w:t>Annual Report 2025: Innovation and Therapeutic Focus</w:t>
      </w:r>
      <w:r w:rsidRPr="007C2433">
        <w:rPr>
          <w:rFonts w:ascii="Times New Roman" w:eastAsia="Times New Roman" w:hAnsi="Times New Roman" w:cs="Times New Roman"/>
          <w:kern w:val="0"/>
          <w14:ligatures w14:val="none"/>
        </w:rPr>
        <w:t xml:space="preserve">, published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Eli Lilly, complete SURMOUNT-5 results, 11 May 2025; associated NEJM publication.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American Diabetes Association, </w:t>
      </w:r>
      <w:r w:rsidRPr="007C2433">
        <w:rPr>
          <w:rFonts w:ascii="Times New Roman" w:eastAsia="Times New Roman" w:hAnsi="Times New Roman" w:cs="Times New Roman"/>
          <w:i/>
          <w:iCs/>
          <w:kern w:val="0"/>
          <w14:ligatures w14:val="none"/>
        </w:rPr>
        <w:t>Standards of Care in Diabetes 2026</w:t>
      </w:r>
      <w:r w:rsidRPr="007C2433">
        <w:rPr>
          <w:rFonts w:ascii="Times New Roman" w:eastAsia="Times New Roman" w:hAnsi="Times New Roman" w:cs="Times New Roman"/>
          <w:kern w:val="0"/>
          <w14:ligatures w14:val="none"/>
        </w:rPr>
        <w:t xml:space="preserve">, published December 2025.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Wilding et al., STEP 1 extension, </w:t>
      </w:r>
      <w:r w:rsidRPr="007C2433">
        <w:rPr>
          <w:rFonts w:ascii="Times New Roman" w:eastAsia="Times New Roman" w:hAnsi="Times New Roman" w:cs="Times New Roman"/>
          <w:i/>
          <w:iCs/>
          <w:kern w:val="0"/>
          <w14:ligatures w14:val="none"/>
        </w:rPr>
        <w:t>Diabetes, Obesity and Metabolism</w:t>
      </w:r>
      <w:r w:rsidRPr="007C2433">
        <w:rPr>
          <w:rFonts w:ascii="Times New Roman" w:eastAsia="Times New Roman" w:hAnsi="Times New Roman" w:cs="Times New Roman"/>
          <w:kern w:val="0"/>
          <w14:ligatures w14:val="none"/>
        </w:rPr>
        <w:t xml:space="preserve">, published May 2022.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Eli Lilly, FDA approval and launch of Foundayo, 1 and 9 April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Eli Lilly, TRIUMPH-1 retatrutide topline, 21 May and 6 June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Roche, CT-388 phase 2 results, 27 January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Roche, 2026 ADA obesity-pipeline update, 1 June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lastRenderedPageBreak/>
        <w:t xml:space="preserve">Amgen, phase 2 MariTide results, 23 June 2025; FY2025 pipeline update, February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Innovent, GLORY-2 mazdutide results and JAMA publication, 8 June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Zealand Pharma, survodutide development overview, accessed 23 July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Wave Life Sciences, INLIGHT phase 2a initiation, 24 June 2026; ClinicalTrials.gov NCT06842186.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Arrowhead Pharmaceuticals, ARO-INHBE and ARO-ALK7 interim data, 6 January and 27 May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Sun Pharma, semaglutide approvals, launches and GL0034/utreglutide development disclosures, 2024–2026.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Lupin and Zydus, semaglutide co-marketing and reusable-cartridge disclosure, March 2026.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 xml:space="preserve">Supplied IQVIA semaglutide market exhibits, data through the June 2026 quarter. </w:t>
      </w:r>
    </w:p>
    <w:p w:rsidR="007C2433" w:rsidRPr="007C2433" w:rsidRDefault="007C2433" w:rsidP="007C2433">
      <w:pPr>
        <w:numPr>
          <w:ilvl w:val="0"/>
          <w:numId w:val="4"/>
        </w:numPr>
        <w:spacing w:before="100" w:beforeAutospacing="1" w:after="100" w:afterAutospacing="1"/>
        <w:rPr>
          <w:rFonts w:ascii="Times New Roman" w:eastAsia="Times New Roman" w:hAnsi="Times New Roman" w:cs="Times New Roman"/>
          <w:kern w:val="0"/>
          <w14:ligatures w14:val="none"/>
        </w:rPr>
      </w:pPr>
      <w:r w:rsidRPr="007C2433">
        <w:rPr>
          <w:rFonts w:ascii="Times New Roman" w:eastAsia="Times New Roman" w:hAnsi="Times New Roman" w:cs="Times New Roman"/>
          <w:kern w:val="0"/>
          <w14:ligatures w14:val="none"/>
        </w:rPr>
        <w:t>Supplied Bernstein India GLP-1, anti-diabetic market, protein-market and economic-pool models.</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349"/>
    <w:multiLevelType w:val="multilevel"/>
    <w:tmpl w:val="7F8E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1171"/>
    <w:multiLevelType w:val="multilevel"/>
    <w:tmpl w:val="890A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4366A"/>
    <w:multiLevelType w:val="multilevel"/>
    <w:tmpl w:val="5B66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64630C"/>
    <w:multiLevelType w:val="multilevel"/>
    <w:tmpl w:val="1B16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705187">
    <w:abstractNumId w:val="2"/>
  </w:num>
  <w:num w:numId="2" w16cid:durableId="44719957">
    <w:abstractNumId w:val="3"/>
  </w:num>
  <w:num w:numId="3" w16cid:durableId="768549948">
    <w:abstractNumId w:val="0"/>
  </w:num>
  <w:num w:numId="4" w16cid:durableId="173389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33"/>
    <w:rsid w:val="006E4C72"/>
    <w:rsid w:val="007B788F"/>
    <w:rsid w:val="007C2433"/>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26A685-CAEA-6F4F-AFDF-39C85611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2433"/>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C243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C243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43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C243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C2433"/>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7C2433"/>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C243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2433"/>
    <w:rPr>
      <w:b/>
      <w:bCs/>
    </w:rPr>
  </w:style>
  <w:style w:type="character" w:styleId="Emphasis">
    <w:name w:val="Emphasis"/>
    <w:basedOn w:val="DefaultParagraphFont"/>
    <w:uiPriority w:val="20"/>
    <w:qFormat/>
    <w:rsid w:val="007C24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747617">
      <w:bodyDiv w:val="1"/>
      <w:marLeft w:val="0"/>
      <w:marRight w:val="0"/>
      <w:marTop w:val="0"/>
      <w:marBottom w:val="0"/>
      <w:divBdr>
        <w:top w:val="none" w:sz="0" w:space="0" w:color="auto"/>
        <w:left w:val="none" w:sz="0" w:space="0" w:color="auto"/>
        <w:bottom w:val="none" w:sz="0" w:space="0" w:color="auto"/>
        <w:right w:val="none" w:sz="0" w:space="0" w:color="auto"/>
      </w:divBdr>
      <w:divsChild>
        <w:div w:id="1101992927">
          <w:marLeft w:val="0"/>
          <w:marRight w:val="0"/>
          <w:marTop w:val="0"/>
          <w:marBottom w:val="0"/>
          <w:divBdr>
            <w:top w:val="none" w:sz="0" w:space="0" w:color="auto"/>
            <w:left w:val="none" w:sz="0" w:space="0" w:color="auto"/>
            <w:bottom w:val="none" w:sz="0" w:space="0" w:color="auto"/>
            <w:right w:val="none" w:sz="0" w:space="0" w:color="auto"/>
          </w:divBdr>
          <w:divsChild>
            <w:div w:id="938752209">
              <w:marLeft w:val="0"/>
              <w:marRight w:val="0"/>
              <w:marTop w:val="0"/>
              <w:marBottom w:val="0"/>
              <w:divBdr>
                <w:top w:val="none" w:sz="0" w:space="0" w:color="auto"/>
                <w:left w:val="none" w:sz="0" w:space="0" w:color="auto"/>
                <w:bottom w:val="none" w:sz="0" w:space="0" w:color="auto"/>
                <w:right w:val="none" w:sz="0" w:space="0" w:color="auto"/>
              </w:divBdr>
            </w:div>
          </w:divsChild>
        </w:div>
        <w:div w:id="536625234">
          <w:marLeft w:val="0"/>
          <w:marRight w:val="0"/>
          <w:marTop w:val="0"/>
          <w:marBottom w:val="0"/>
          <w:divBdr>
            <w:top w:val="none" w:sz="0" w:space="0" w:color="auto"/>
            <w:left w:val="none" w:sz="0" w:space="0" w:color="auto"/>
            <w:bottom w:val="none" w:sz="0" w:space="0" w:color="auto"/>
            <w:right w:val="none" w:sz="0" w:space="0" w:color="auto"/>
          </w:divBdr>
          <w:divsChild>
            <w:div w:id="1460024992">
              <w:marLeft w:val="0"/>
              <w:marRight w:val="0"/>
              <w:marTop w:val="0"/>
              <w:marBottom w:val="0"/>
              <w:divBdr>
                <w:top w:val="none" w:sz="0" w:space="0" w:color="auto"/>
                <w:left w:val="none" w:sz="0" w:space="0" w:color="auto"/>
                <w:bottom w:val="none" w:sz="0" w:space="0" w:color="auto"/>
                <w:right w:val="none" w:sz="0" w:space="0" w:color="auto"/>
              </w:divBdr>
            </w:div>
          </w:divsChild>
        </w:div>
        <w:div w:id="1164396685">
          <w:marLeft w:val="0"/>
          <w:marRight w:val="0"/>
          <w:marTop w:val="0"/>
          <w:marBottom w:val="0"/>
          <w:divBdr>
            <w:top w:val="none" w:sz="0" w:space="0" w:color="auto"/>
            <w:left w:val="none" w:sz="0" w:space="0" w:color="auto"/>
            <w:bottom w:val="none" w:sz="0" w:space="0" w:color="auto"/>
            <w:right w:val="none" w:sz="0" w:space="0" w:color="auto"/>
          </w:divBdr>
          <w:divsChild>
            <w:div w:id="664283858">
              <w:marLeft w:val="0"/>
              <w:marRight w:val="0"/>
              <w:marTop w:val="0"/>
              <w:marBottom w:val="0"/>
              <w:divBdr>
                <w:top w:val="none" w:sz="0" w:space="0" w:color="auto"/>
                <w:left w:val="none" w:sz="0" w:space="0" w:color="auto"/>
                <w:bottom w:val="none" w:sz="0" w:space="0" w:color="auto"/>
                <w:right w:val="none" w:sz="0" w:space="0" w:color="auto"/>
              </w:divBdr>
            </w:div>
          </w:divsChild>
        </w:div>
        <w:div w:id="1014570260">
          <w:marLeft w:val="0"/>
          <w:marRight w:val="0"/>
          <w:marTop w:val="0"/>
          <w:marBottom w:val="0"/>
          <w:divBdr>
            <w:top w:val="none" w:sz="0" w:space="0" w:color="auto"/>
            <w:left w:val="none" w:sz="0" w:space="0" w:color="auto"/>
            <w:bottom w:val="none" w:sz="0" w:space="0" w:color="auto"/>
            <w:right w:val="none" w:sz="0" w:space="0" w:color="auto"/>
          </w:divBdr>
          <w:divsChild>
            <w:div w:id="278415804">
              <w:marLeft w:val="0"/>
              <w:marRight w:val="0"/>
              <w:marTop w:val="0"/>
              <w:marBottom w:val="0"/>
              <w:divBdr>
                <w:top w:val="none" w:sz="0" w:space="0" w:color="auto"/>
                <w:left w:val="none" w:sz="0" w:space="0" w:color="auto"/>
                <w:bottom w:val="none" w:sz="0" w:space="0" w:color="auto"/>
                <w:right w:val="none" w:sz="0" w:space="0" w:color="auto"/>
              </w:divBdr>
            </w:div>
          </w:divsChild>
        </w:div>
        <w:div w:id="404454693">
          <w:marLeft w:val="0"/>
          <w:marRight w:val="0"/>
          <w:marTop w:val="0"/>
          <w:marBottom w:val="0"/>
          <w:divBdr>
            <w:top w:val="none" w:sz="0" w:space="0" w:color="auto"/>
            <w:left w:val="none" w:sz="0" w:space="0" w:color="auto"/>
            <w:bottom w:val="none" w:sz="0" w:space="0" w:color="auto"/>
            <w:right w:val="none" w:sz="0" w:space="0" w:color="auto"/>
          </w:divBdr>
          <w:divsChild>
            <w:div w:id="1313826153">
              <w:marLeft w:val="0"/>
              <w:marRight w:val="0"/>
              <w:marTop w:val="0"/>
              <w:marBottom w:val="0"/>
              <w:divBdr>
                <w:top w:val="none" w:sz="0" w:space="0" w:color="auto"/>
                <w:left w:val="none" w:sz="0" w:space="0" w:color="auto"/>
                <w:bottom w:val="none" w:sz="0" w:space="0" w:color="auto"/>
                <w:right w:val="none" w:sz="0" w:space="0" w:color="auto"/>
              </w:divBdr>
            </w:div>
          </w:divsChild>
        </w:div>
        <w:div w:id="878052041">
          <w:marLeft w:val="0"/>
          <w:marRight w:val="0"/>
          <w:marTop w:val="0"/>
          <w:marBottom w:val="0"/>
          <w:divBdr>
            <w:top w:val="none" w:sz="0" w:space="0" w:color="auto"/>
            <w:left w:val="none" w:sz="0" w:space="0" w:color="auto"/>
            <w:bottom w:val="none" w:sz="0" w:space="0" w:color="auto"/>
            <w:right w:val="none" w:sz="0" w:space="0" w:color="auto"/>
          </w:divBdr>
          <w:divsChild>
            <w:div w:id="1570074837">
              <w:marLeft w:val="0"/>
              <w:marRight w:val="0"/>
              <w:marTop w:val="0"/>
              <w:marBottom w:val="0"/>
              <w:divBdr>
                <w:top w:val="none" w:sz="0" w:space="0" w:color="auto"/>
                <w:left w:val="none" w:sz="0" w:space="0" w:color="auto"/>
                <w:bottom w:val="none" w:sz="0" w:space="0" w:color="auto"/>
                <w:right w:val="none" w:sz="0" w:space="0" w:color="auto"/>
              </w:divBdr>
            </w:div>
          </w:divsChild>
        </w:div>
        <w:div w:id="1726175282">
          <w:marLeft w:val="0"/>
          <w:marRight w:val="0"/>
          <w:marTop w:val="0"/>
          <w:marBottom w:val="0"/>
          <w:divBdr>
            <w:top w:val="none" w:sz="0" w:space="0" w:color="auto"/>
            <w:left w:val="none" w:sz="0" w:space="0" w:color="auto"/>
            <w:bottom w:val="none" w:sz="0" w:space="0" w:color="auto"/>
            <w:right w:val="none" w:sz="0" w:space="0" w:color="auto"/>
          </w:divBdr>
          <w:divsChild>
            <w:div w:id="1904632004">
              <w:marLeft w:val="0"/>
              <w:marRight w:val="0"/>
              <w:marTop w:val="0"/>
              <w:marBottom w:val="0"/>
              <w:divBdr>
                <w:top w:val="none" w:sz="0" w:space="0" w:color="auto"/>
                <w:left w:val="none" w:sz="0" w:space="0" w:color="auto"/>
                <w:bottom w:val="none" w:sz="0" w:space="0" w:color="auto"/>
                <w:right w:val="none" w:sz="0" w:space="0" w:color="auto"/>
              </w:divBdr>
            </w:div>
          </w:divsChild>
        </w:div>
        <w:div w:id="227766341">
          <w:marLeft w:val="0"/>
          <w:marRight w:val="0"/>
          <w:marTop w:val="0"/>
          <w:marBottom w:val="0"/>
          <w:divBdr>
            <w:top w:val="none" w:sz="0" w:space="0" w:color="auto"/>
            <w:left w:val="none" w:sz="0" w:space="0" w:color="auto"/>
            <w:bottom w:val="none" w:sz="0" w:space="0" w:color="auto"/>
            <w:right w:val="none" w:sz="0" w:space="0" w:color="auto"/>
          </w:divBdr>
          <w:divsChild>
            <w:div w:id="1701470438">
              <w:marLeft w:val="0"/>
              <w:marRight w:val="0"/>
              <w:marTop w:val="0"/>
              <w:marBottom w:val="0"/>
              <w:divBdr>
                <w:top w:val="none" w:sz="0" w:space="0" w:color="auto"/>
                <w:left w:val="none" w:sz="0" w:space="0" w:color="auto"/>
                <w:bottom w:val="none" w:sz="0" w:space="0" w:color="auto"/>
                <w:right w:val="none" w:sz="0" w:space="0" w:color="auto"/>
              </w:divBdr>
            </w:div>
          </w:divsChild>
        </w:div>
        <w:div w:id="1963808545">
          <w:marLeft w:val="0"/>
          <w:marRight w:val="0"/>
          <w:marTop w:val="0"/>
          <w:marBottom w:val="0"/>
          <w:divBdr>
            <w:top w:val="none" w:sz="0" w:space="0" w:color="auto"/>
            <w:left w:val="none" w:sz="0" w:space="0" w:color="auto"/>
            <w:bottom w:val="none" w:sz="0" w:space="0" w:color="auto"/>
            <w:right w:val="none" w:sz="0" w:space="0" w:color="auto"/>
          </w:divBdr>
          <w:divsChild>
            <w:div w:id="2060980358">
              <w:marLeft w:val="0"/>
              <w:marRight w:val="0"/>
              <w:marTop w:val="0"/>
              <w:marBottom w:val="0"/>
              <w:divBdr>
                <w:top w:val="none" w:sz="0" w:space="0" w:color="auto"/>
                <w:left w:val="none" w:sz="0" w:space="0" w:color="auto"/>
                <w:bottom w:val="none" w:sz="0" w:space="0" w:color="auto"/>
                <w:right w:val="none" w:sz="0" w:space="0" w:color="auto"/>
              </w:divBdr>
            </w:div>
          </w:divsChild>
        </w:div>
        <w:div w:id="146754295">
          <w:marLeft w:val="0"/>
          <w:marRight w:val="0"/>
          <w:marTop w:val="0"/>
          <w:marBottom w:val="0"/>
          <w:divBdr>
            <w:top w:val="none" w:sz="0" w:space="0" w:color="auto"/>
            <w:left w:val="none" w:sz="0" w:space="0" w:color="auto"/>
            <w:bottom w:val="none" w:sz="0" w:space="0" w:color="auto"/>
            <w:right w:val="none" w:sz="0" w:space="0" w:color="auto"/>
          </w:divBdr>
          <w:divsChild>
            <w:div w:id="227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9159</Words>
  <Characters>52207</Characters>
  <Application>Microsoft Office Word</Application>
  <DocSecurity>0</DocSecurity>
  <Lines>435</Lines>
  <Paragraphs>122</Paragraphs>
  <ScaleCrop>false</ScaleCrop>
  <Company/>
  <LinksUpToDate>false</LinksUpToDate>
  <CharactersWithSpaces>61244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2026-07-23T06:30:00Z</dcterms:created>
  <dcterms:modified xsi:type="dcterms:W3CDTF">2026-07-23T06:31:00Z</dcterms:modified>
</cp:coreProperties>
</file>