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X26b59d3f4036d0f27a94682c0528026f3d51b63"/>
    <w:p>
      <w:pPr>
        <w:pStyle w:val="Heading1"/>
      </w:pPr>
      <w:r>
        <w:t xml:space="preserve">Max Healthcare Institute Limited Investment Memorandum</w:t>
      </w:r>
    </w:p>
    <w:bookmarkStart w:id="24" w:name="executive-investment-view"/>
    <w:p>
      <w:pPr>
        <w:pStyle w:val="Heading2"/>
      </w:pPr>
      <w:r>
        <w:t xml:space="preserve">Executive investment view</w:t>
      </w:r>
    </w:p>
    <w:p>
      <w:pPr>
        <w:pStyle w:val="FirstParagraph"/>
      </w:pPr>
      <w:r>
        <w:rPr>
          <w:b/>
          <w:bCs/>
        </w:rPr>
        <w:t xml:space="preserve">Recommendation: Watchlist.</w:t>
      </w:r>
      <w:r>
        <w:t xml:space="preserve"> </w:t>
      </w:r>
      <w:r>
        <w:t xml:space="preserve">Max Healthcare is a scarce, high-productivity urban hospital platform, but the stock is already pricing in a large part of the brownfield rollout, sustained premium case-mix, and continued access to value-accretive expansion. At the current market price, the upside looks too narrow relative to execution, regulatory and multiple-compression risk.</w:t>
      </w:r>
      <w:r>
        <w:t xml:space="preserve"> </w:t>
      </w:r>
      <w:hyperlink r:id="rId21">
        <w:r>
          <w:rPr>
            <w:rStyle w:val="Hyperlink"/>
          </w:rPr>
          <w:t xml:space="preserve">[1]</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jc w:val="right"/>
            </w:pPr>
            <w:r>
              <w:t xml:space="preserve">Assessment</w:t>
            </w:r>
          </w:p>
        </w:tc>
      </w:tr>
      <w:tr>
        <w:tc>
          <w:tcPr/>
          <w:p>
            <w:pPr>
              <w:pStyle w:val="Compact"/>
            </w:pPr>
            <w:r>
              <w:t xml:space="preserve">Listed company</w:t>
            </w:r>
          </w:p>
        </w:tc>
        <w:tc>
          <w:tcPr/>
          <w:p>
            <w:pPr>
              <w:pStyle w:val="Compact"/>
              <w:jc w:val="right"/>
            </w:pPr>
            <w:r>
              <w:t xml:space="preserve">Max Healthcare Institute Limited</w:t>
            </w:r>
          </w:p>
        </w:tc>
      </w:tr>
      <w:tr>
        <w:tc>
          <w:tcPr/>
          <w:p>
            <w:pPr>
              <w:pStyle w:val="Compact"/>
            </w:pPr>
            <w:r>
              <w:t xml:space="preserve">Exchange ticker</w:t>
            </w:r>
          </w:p>
        </w:tc>
        <w:tc>
          <w:tcPr/>
          <w:p>
            <w:pPr>
              <w:pStyle w:val="Compact"/>
              <w:jc w:val="right"/>
            </w:pPr>
            <w:r>
              <w:t xml:space="preserve">NSE: MAXHEALTH; BSE trading symbol MAXHEALTH</w:t>
            </w:r>
          </w:p>
        </w:tc>
      </w:tr>
      <w:tr>
        <w:tc>
          <w:tcPr/>
          <w:p>
            <w:pPr>
              <w:pStyle w:val="Compact"/>
            </w:pPr>
            <w:r>
              <w:t xml:space="preserve">Current share price</w:t>
            </w:r>
          </w:p>
        </w:tc>
        <w:tc>
          <w:tcPr/>
          <w:p>
            <w:pPr>
              <w:pStyle w:val="Compact"/>
              <w:jc w:val="right"/>
            </w:pPr>
            <w:r>
              <w:t xml:space="preserve">₹1,081</w:t>
            </w:r>
          </w:p>
        </w:tc>
      </w:tr>
      <w:tr>
        <w:tc>
          <w:tcPr/>
          <w:p>
            <w:pPr>
              <w:pStyle w:val="Compact"/>
            </w:pPr>
            <w:r>
              <w:t xml:space="preserve">Shares outstanding</w:t>
            </w:r>
          </w:p>
        </w:tc>
        <w:tc>
          <w:tcPr/>
          <w:p>
            <w:pPr>
              <w:pStyle w:val="Compact"/>
              <w:jc w:val="right"/>
            </w:pPr>
            <w:r>
              <w:t xml:space="preserve">97.32 crore</w:t>
            </w:r>
          </w:p>
        </w:tc>
      </w:tr>
      <w:tr>
        <w:tc>
          <w:tcPr/>
          <w:p>
            <w:pPr>
              <w:pStyle w:val="Compact"/>
            </w:pPr>
            <w:r>
              <w:t xml:space="preserve">Current market capitalisation</w:t>
            </w:r>
          </w:p>
        </w:tc>
        <w:tc>
          <w:tcPr/>
          <w:p>
            <w:pPr>
              <w:pStyle w:val="Compact"/>
              <w:jc w:val="right"/>
            </w:pPr>
            <w:r>
              <w:t xml:space="preserve">~₹1.05 lakh crore</w:t>
            </w:r>
          </w:p>
        </w:tc>
      </w:tr>
      <w:tr>
        <w:tc>
          <w:tcPr/>
          <w:p>
            <w:pPr>
              <w:pStyle w:val="Compact"/>
            </w:pPr>
            <w:r>
              <w:t xml:space="preserve">Current enterprise value</w:t>
            </w:r>
          </w:p>
        </w:tc>
        <w:tc>
          <w:tcPr/>
          <w:p>
            <w:pPr>
              <w:pStyle w:val="Compact"/>
              <w:jc w:val="right"/>
            </w:pPr>
            <w:r>
              <w:t xml:space="preserve">~₹1.08 lakh crore</w:t>
            </w:r>
          </w:p>
        </w:tc>
      </w:tr>
      <w:tr>
        <w:tc>
          <w:tcPr/>
          <w:p>
            <w:pPr>
              <w:pStyle w:val="Compact"/>
            </w:pPr>
            <w:r>
              <w:t xml:space="preserve">Base-case fair value</w:t>
            </w:r>
          </w:p>
        </w:tc>
        <w:tc>
          <w:tcPr/>
          <w:p>
            <w:pPr>
              <w:pStyle w:val="Compact"/>
              <w:jc w:val="right"/>
            </w:pPr>
            <w:r>
              <w:t xml:space="preserve">₹1,125/share</w:t>
            </w:r>
          </w:p>
        </w:tc>
      </w:tr>
      <w:tr>
        <w:tc>
          <w:tcPr/>
          <w:p>
            <w:pPr>
              <w:pStyle w:val="Compact"/>
            </w:pPr>
            <w:r>
              <w:t xml:space="preserve">Downside fair value</w:t>
            </w:r>
          </w:p>
        </w:tc>
        <w:tc>
          <w:tcPr/>
          <w:p>
            <w:pPr>
              <w:pStyle w:val="Compact"/>
              <w:jc w:val="right"/>
            </w:pPr>
            <w:r>
              <w:t xml:space="preserve">₹800/share</w:t>
            </w:r>
          </w:p>
        </w:tc>
      </w:tr>
      <w:tr>
        <w:tc>
          <w:tcPr/>
          <w:p>
            <w:pPr>
              <w:pStyle w:val="Compact"/>
            </w:pPr>
            <w:r>
              <w:t xml:space="preserve">Upside fair value</w:t>
            </w:r>
          </w:p>
        </w:tc>
        <w:tc>
          <w:tcPr/>
          <w:p>
            <w:pPr>
              <w:pStyle w:val="Compact"/>
              <w:jc w:val="right"/>
            </w:pPr>
            <w:r>
              <w:t xml:space="preserve">₹1,380/share</w:t>
            </w:r>
          </w:p>
        </w:tc>
      </w:tr>
      <w:tr>
        <w:tc>
          <w:tcPr/>
          <w:p>
            <w:pPr>
              <w:pStyle w:val="Compact"/>
            </w:pPr>
            <w:r>
              <w:t xml:space="preserve">Base-case 3-year annualised return</w:t>
            </w:r>
          </w:p>
        </w:tc>
        <w:tc>
          <w:tcPr/>
          <w:p>
            <w:pPr>
              <w:pStyle w:val="Compact"/>
              <w:jc w:val="right"/>
            </w:pPr>
            <w:r>
              <w:t xml:space="preserve">~1–2% plus a low dividend</w:t>
            </w:r>
          </w:p>
        </w:tc>
      </w:tr>
      <w:tr>
        <w:tc>
          <w:tcPr/>
          <w:p>
            <w:pPr>
              <w:pStyle w:val="Compact"/>
            </w:pPr>
            <w:r>
              <w:t xml:space="preserve">Preferred entry zone</w:t>
            </w:r>
          </w:p>
        </w:tc>
        <w:tc>
          <w:tcPr/>
          <w:p>
            <w:pPr>
              <w:pStyle w:val="Compact"/>
              <w:jc w:val="right"/>
            </w:pPr>
            <w:r>
              <w:t xml:space="preserve">Below ~₹900; strong margin of safety below ~₹850</w:t>
            </w:r>
          </w:p>
        </w:tc>
      </w:tr>
      <w:tr>
        <w:tc>
          <w:tcPr/>
          <w:p>
            <w:pPr>
              <w:pStyle w:val="Compact"/>
            </w:pPr>
            <w:r>
              <w:t xml:space="preserve">IC conclusion</w:t>
            </w:r>
          </w:p>
        </w:tc>
        <w:tc>
          <w:tcPr/>
          <w:p>
            <w:pPr>
              <w:pStyle w:val="Compact"/>
              <w:jc w:val="right"/>
            </w:pPr>
            <w:r>
              <w:t xml:space="preserve">Do</w:t>
            </w:r>
            <w:r>
              <w:t xml:space="preserve"> </w:t>
            </w:r>
            <w:r>
              <w:rPr>
                <w:b/>
                <w:bCs/>
              </w:rPr>
              <w:t xml:space="preserve">not</w:t>
            </w:r>
            <w:r>
              <w:t xml:space="preserve"> </w:t>
            </w:r>
            <w:r>
              <w:t xml:space="preserve">buy a substantial minority stake at the current price</w:t>
            </w:r>
          </w:p>
        </w:tc>
      </w:tr>
    </w:tbl>
    <w:p>
      <w:pPr>
        <w:pStyle w:val="BodyText"/>
      </w:pPr>
      <w:r>
        <w:rPr>
          <w:b/>
          <w:bCs/>
        </w:rPr>
        <w:t xml:space="preserve">Source note:</w:t>
      </w:r>
      <w:r>
        <w:t xml:space="preserve"> </w:t>
      </w:r>
      <w:r>
        <w:t xml:space="preserve">share price from ET Money at 2:47 pm on 22 Jul 2026; shares outstanding and ownership from the company’s June 2026 shareholding pattern; enterprise value is</w:t>
      </w:r>
      <w:r>
        <w:t xml:space="preserve"> </w:t>
      </w:r>
      <w:r>
        <w:rPr>
          <w:b/>
          <w:bCs/>
        </w:rPr>
        <w:t xml:space="preserve">our estimate</w:t>
      </w:r>
      <w:r>
        <w:t xml:space="preserve"> </w:t>
      </w:r>
      <w:r>
        <w:t xml:space="preserve">using Mar-26 borrowings, lease liabilities, contingent/deferred consideration, put-option liability, and cash/bank balances.</w:t>
      </w:r>
      <w:r>
        <w:t xml:space="preserve"> </w:t>
      </w:r>
      <w:hyperlink r:id="rId21">
        <w:r>
          <w:rPr>
            <w:rStyle w:val="Hyperlink"/>
          </w:rPr>
          <w:t xml:space="preserve">[2]</w:t>
        </w:r>
      </w:hyperlink>
    </w:p>
    <w:p>
      <w:pPr>
        <w:pStyle w:val="BodyText"/>
      </w:pPr>
      <w:r>
        <w:t xml:space="preserve">The core long thesis is easy to understand. Max has a dense concentration in Delhi NCR and Mumbai, runs at a higher ARPOB than comparable listed peers in the company’s own peer set, has kept occupancy around the mid-70s despite adding capacity, and still has a visible brownfield pipeline. FY26 network gross revenue rose 16% to ₹10,538 crore, operating EBITDA rose 14% to ₹2,638 crore, operational beds increased from 4,654 to 4,966, occupancy improved to 76%, and ARPOB rose to ₹77.8k. These are the numbers of a business with real demand depth, not just financial engineering.</w:t>
      </w:r>
      <w:r>
        <w:t xml:space="preserve"> </w:t>
      </w:r>
      <w:hyperlink r:id="rId22">
        <w:r>
          <w:rPr>
            <w:rStyle w:val="Hyperlink"/>
          </w:rPr>
          <w:t xml:space="preserve">[3]</w:t>
        </w:r>
      </w:hyperlink>
    </w:p>
    <w:p>
      <w:pPr>
        <w:pStyle w:val="BodyText"/>
      </w:pPr>
      <w:r>
        <w:t xml:space="preserve">The problem is valuation discipline. On today’s price, Max trades at roughly</w:t>
      </w:r>
      <w:r>
        <w:t xml:space="preserve"> </w:t>
      </w:r>
      <w:r>
        <w:rPr>
          <w:b/>
          <w:bCs/>
        </w:rPr>
        <w:t xml:space="preserve">41x FY26 network EBITDA</w:t>
      </w:r>
      <w:r>
        <w:t xml:space="preserve">,</w:t>
      </w:r>
      <w:r>
        <w:t xml:space="preserve"> </w:t>
      </w:r>
      <w:r>
        <w:rPr>
          <w:b/>
          <w:bCs/>
        </w:rPr>
        <w:t xml:space="preserve">~73x FY26 consolidated EPS</w:t>
      </w:r>
      <w:r>
        <w:t xml:space="preserve">,</w:t>
      </w:r>
      <w:r>
        <w:t xml:space="preserve"> </w:t>
      </w:r>
      <w:r>
        <w:rPr>
          <w:b/>
          <w:bCs/>
        </w:rPr>
        <w:t xml:space="preserve">~₹21.8 crore per operational bed</w:t>
      </w:r>
      <w:r>
        <w:t xml:space="preserve">, and</w:t>
      </w:r>
      <w:r>
        <w:t xml:space="preserve"> </w:t>
      </w:r>
      <w:r>
        <w:rPr>
          <w:b/>
          <w:bCs/>
        </w:rPr>
        <w:t xml:space="preserve">~₹17.7 crore per installed bed</w:t>
      </w:r>
      <w:r>
        <w:t xml:space="preserve"> </w:t>
      </w:r>
      <w:r>
        <w:t xml:space="preserve">by our calculation. Even on a forward framing, the stock already assumes that the recently commissioned towers ramp broadly on time, Gurugram and newer cities do not absorb returns for too long, and the company’s premium multiple remains unusually high.</w:t>
      </w:r>
      <w:r>
        <w:t xml:space="preserve"> </w:t>
      </w:r>
      <w:hyperlink r:id="rId21">
        <w:r>
          <w:rPr>
            <w:rStyle w:val="Hyperlink"/>
          </w:rPr>
          <w:t xml:space="preserve">[4]</w:t>
        </w:r>
      </w:hyperlink>
    </w:p>
    <w:p>
      <w:pPr>
        <w:pStyle w:val="BodyText"/>
      </w:pPr>
      <w:r>
        <w:t xml:space="preserve">The strongest reasons to own the business are clear. First, Max’s NCR-heavy footprint sits in markets with low private-bed density relative to income and insurance depth; the company’s own deck shows Max with ~73% beds in metros and FY26 ARPOB above Medanta, Apollo and Narayana in its peer set. Second, brownfield expansion around strong existing doctor clusters usually earns materially better returns than greenfield. Third, governance is not perfect, but the reviewed filings show no promoter pledge, no audit qualification, and a board with a majority of independent directors.</w:t>
      </w:r>
      <w:r>
        <w:t xml:space="preserve"> </w:t>
      </w:r>
      <w:hyperlink r:id="rId23">
        <w:r>
          <w:rPr>
            <w:rStyle w:val="Hyperlink"/>
          </w:rPr>
          <w:t xml:space="preserve">[5]</w:t>
        </w:r>
      </w:hyperlink>
    </w:p>
    <w:p>
      <w:pPr>
        <w:pStyle w:val="BodyText"/>
      </w:pPr>
      <w:r>
        <w:t xml:space="preserve">The strongest reasons</w:t>
      </w:r>
      <w:r>
        <w:t xml:space="preserve"> </w:t>
      </w:r>
      <w:r>
        <w:rPr>
          <w:b/>
          <w:bCs/>
        </w:rPr>
        <w:t xml:space="preserve">not</w:t>
      </w:r>
      <w:r>
        <w:t xml:space="preserve"> </w:t>
      </w:r>
      <w:r>
        <w:t xml:space="preserve">to buy the stock now are equally clear. First, the market is capitalising Max like a long-duration compounding machine before free cash flow has fully inflected; the company itself reinvested ₹1,627 crore into expansion/upgrades in FY26, while network cash from operations was ₹1,541 crore. Second, the asset perimeter is more complex than the headline equity story suggests: market participants focus on “network” numbers that include managed and partner healthcare facilities not fully captured under standard statutory consolidation. Third, the execution calendar has become crowded: Smart Saket, Nanavati, Gurugram, Dwarka, Dehradun, Lucknow phase-II, Kalinga, Pune and asset-light projects are all competing for capital and clinical bandwidth.</w:t>
      </w:r>
      <w:r>
        <w:t xml:space="preserve"> </w:t>
      </w:r>
      <w:hyperlink r:id="rId22">
        <w:r>
          <w:rPr>
            <w:rStyle w:val="Hyperlink"/>
          </w:rPr>
          <w:t xml:space="preserve">[6]</w:t>
        </w:r>
      </w:hyperlink>
    </w:p>
    <w:p>
      <w:pPr>
        <w:pStyle w:val="BodyText"/>
      </w:pPr>
      <w:r>
        <w:t xml:space="preserve">What would change the recommendation? Either a materially lower entry price, or hard evidence that the brownfield beds are ramping faster than I underwrite and that consolidated free cash flow can expand without repeated recourse to increasingly expensive acquisitions. The cleanest positive evidence would be sustained occupancy on the new Saket and Nanavati blocks, on-time delivery at Gurugram, and return on capital moving back toward the ex-CWIP levels rather than the reported consolidated level.</w:t>
      </w:r>
      <w:r>
        <w:t xml:space="preserve"> </w:t>
      </w:r>
      <w:hyperlink r:id="rId22">
        <w:r>
          <w:rPr>
            <w:rStyle w:val="Hyperlink"/>
          </w:rPr>
          <w:t xml:space="preserve">[7]</w:t>
        </w:r>
      </w:hyperlink>
    </w:p>
    <w:bookmarkEnd w:id="24"/>
    <w:bookmarkStart w:id="25" w:name="investment-thesis-and-variant-perception"/>
    <w:p>
      <w:pPr>
        <w:pStyle w:val="Heading2"/>
      </w:pPr>
      <w:r>
        <w:t xml:space="preserve">Investment thesis and variant perception</w:t>
      </w:r>
    </w:p>
    <w:p>
      <w:pPr>
        <w:pStyle w:val="FirstParagraph"/>
      </w:pPr>
      <w:r>
        <w:t xml:space="preserve">My central view is that</w:t>
      </w:r>
      <w:r>
        <w:t xml:space="preserve"> </w:t>
      </w:r>
      <w:r>
        <w:rPr>
          <w:b/>
          <w:bCs/>
        </w:rPr>
        <w:t xml:space="preserve">the business is attractive, but the equity is not attractively priced</w:t>
      </w:r>
      <w:r>
        <w:t xml:space="preserve">. That is the memo’s answer to the investment committee’s core question. Max is a better business than many Indian listed hospital companies because it combines metro concentration, pricing depth, high-acuity specialties, doctor franchise density and some brownfield optionality. The stock, however, already discounts a great deal of that.</w:t>
      </w:r>
      <w:r>
        <w:t xml:space="preserve"> </w:t>
      </w:r>
      <w:hyperlink r:id="rId23">
        <w:r>
          <w:rPr>
            <w:rStyle w:val="Hyperlink"/>
          </w:rPr>
          <w:t xml:space="preserve">[8]</w:t>
        </w:r>
      </w:hyperlink>
    </w:p>
    <w:p>
      <w:pPr>
        <w:pStyle w:val="BodyText"/>
      </w:pPr>
      <w:r>
        <w:t xml:space="preserve">What the market appears to believe is visible in both valuation and sponsor-style commentary. The company’s own strategy deck says capacity could roughly double in the next four to five years, with ~2,000 brownfield beds, asset-light additions in Mohali, Thane, Dehradun and Pitampura, plus greenfield land in Gurugram and Lucknow. A February 2026 brokerage note expected EBITDA to grow at a 21% CAGR over FY26-28 and argued that the stock was already trading at 26x FY28 EV/EBITDA then. Since then, the stock has moved to ₹1,081 on 22 Jul 2026. The market is therefore not paying for current earnings; it is paying for a multi-year execution arc.</w:t>
      </w:r>
      <w:r>
        <w:t xml:space="preserve"> </w:t>
      </w:r>
      <w:hyperlink r:id="rId23">
        <w:r>
          <w:rPr>
            <w:rStyle w:val="Hyperlink"/>
          </w:rPr>
          <w:t xml:space="preserve">[9]</w:t>
        </w:r>
      </w:hyperlink>
    </w:p>
    <w:p>
      <w:pPr>
        <w:pStyle w:val="BodyText"/>
      </w:pPr>
      <w:r>
        <w:t xml:space="preserve">Where the market could be wrong is not on the demand story. The market could be wrong on</w:t>
      </w:r>
      <w:r>
        <w:t xml:space="preserve"> </w:t>
      </w:r>
      <w:r>
        <w:rPr>
          <w:b/>
          <w:bCs/>
        </w:rPr>
        <w:t xml:space="preserve">timing, transparency and terminal valuation</w:t>
      </w:r>
      <w:r>
        <w:t xml:space="preserve">. Timing, because recently commissioned beds always look better in slideware than in P&amp;L translation. Transparency, because the “network” perimeter includes managed and partner facilities that matter economically but reduce clean comparability between statutory and operating disclosures. Terminal valuation, because at ~41x FY26 network EBITDA, even a high-quality hospital operator needs years of near-flawless delivery to produce attractive shareholder returns from here.</w:t>
      </w:r>
      <w:r>
        <w:t xml:space="preserve"> </w:t>
      </w:r>
      <w:hyperlink r:id="rId22">
        <w:r>
          <w:rPr>
            <w:rStyle w:val="Hyperlink"/>
          </w:rPr>
          <w:t xml:space="preserve">[10]</w:t>
        </w:r>
      </w:hyperlink>
    </w:p>
    <w:p>
      <w:pPr>
        <w:pStyle w:val="BodyText"/>
      </w:pPr>
      <w:r>
        <w:t xml:space="preserve">My variant perception is therefore modestly bearish on</w:t>
      </w:r>
      <w:r>
        <w:t xml:space="preserve"> </w:t>
      </w:r>
      <w:r>
        <w:rPr>
          <w:b/>
          <w:bCs/>
        </w:rPr>
        <w:t xml:space="preserve">valuation</w:t>
      </w:r>
      <w:r>
        <w:t xml:space="preserve">, not on the</w:t>
      </w:r>
      <w:r>
        <w:t xml:space="preserve"> </w:t>
      </w:r>
      <w:r>
        <w:rPr>
          <w:b/>
          <w:bCs/>
        </w:rPr>
        <w:t xml:space="preserve">asset</w:t>
      </w:r>
      <w:r>
        <w:t xml:space="preserve">. I do</w:t>
      </w:r>
      <w:r>
        <w:t xml:space="preserve"> </w:t>
      </w:r>
      <w:r>
        <w:rPr>
          <w:b/>
          <w:bCs/>
        </w:rPr>
        <w:t xml:space="preserve">not</w:t>
      </w:r>
      <w:r>
        <w:t xml:space="preserve"> </w:t>
      </w:r>
      <w:r>
        <w:t xml:space="preserve">think this is a fragile or promotional story. I do think the market is capitalising future beds, future mix improvement and future margin leverage at a price that leaves little room for slippage. That distinction matters. If the committee were evaluating the business at a sensible private-market entry multiple, I would be constructive. At the listed market price, I would wait.</w:t>
      </w:r>
      <w:r>
        <w:t xml:space="preserve"> </w:t>
      </w:r>
      <w:hyperlink r:id="rId21">
        <w:r>
          <w:rPr>
            <w:rStyle w:val="Hyperlink"/>
          </w:rPr>
          <w:t xml:space="preserve">[11]</w:t>
        </w:r>
      </w:hyperlink>
    </w:p>
    <w:bookmarkEnd w:id="25"/>
    <w:bookmarkStart w:id="29" w:name="business-overview-and-hospital-economics"/>
    <w:p>
      <w:pPr>
        <w:pStyle w:val="Heading2"/>
      </w:pPr>
      <w:r>
        <w:t xml:space="preserve">Business overview and hospital economics</w:t>
      </w:r>
    </w:p>
    <w:p>
      <w:pPr>
        <w:pStyle w:val="FirstParagraph"/>
      </w:pPr>
      <w:r>
        <w:rPr>
          <w:b/>
          <w:bCs/>
        </w:rPr>
        <w:t xml:space="preserve">What business are we buying?</w:t>
      </w:r>
      <w:r>
        <w:t xml:space="preserve"> </w:t>
      </w:r>
      <w:r>
        <w:t xml:space="preserve">The correct legal entity is</w:t>
      </w:r>
      <w:r>
        <w:t xml:space="preserve"> </w:t>
      </w:r>
      <w:r>
        <w:rPr>
          <w:b/>
          <w:bCs/>
        </w:rPr>
        <w:t xml:space="preserve">Max Healthcare Institute Limited</w:t>
      </w:r>
      <w:r>
        <w:t xml:space="preserve">, promoted and led by Abhay Soi. The current business was formed after Radiant Life Care acquired 49.7% in the erstwhile Max Healthcare, followed by the NCLT-approved amalgamation of erstwhile Max India’s healthcare assets and Radiant’s healthcare business into Max Healthcare, effective 1 June 2020; the merged company listed in August 2020. The investors page states that the present amalgamated company was formed after Radiant’s purchase of the 49.7% stake and the subsequent amalgamation.</w:t>
      </w:r>
      <w:r>
        <w:t xml:space="preserve"> </w:t>
      </w:r>
      <w:hyperlink r:id="rId26">
        <w:r>
          <w:rPr>
            <w:rStyle w:val="Hyperlink"/>
          </w:rPr>
          <w:t xml:space="preserve">[12]</w:t>
        </w:r>
      </w:hyperlink>
    </w:p>
    <w:p>
      <w:pPr>
        <w:pStyle w:val="BodyText"/>
      </w:pPr>
      <w:r>
        <w:t xml:space="preserve">This is</w:t>
      </w:r>
      <w:r>
        <w:t xml:space="preserve"> </w:t>
      </w:r>
      <w:r>
        <w:rPr>
          <w:b/>
          <w:bCs/>
        </w:rPr>
        <w:t xml:space="preserve">not</w:t>
      </w:r>
      <w:r>
        <w:t xml:space="preserve"> </w:t>
      </w:r>
      <w:r>
        <w:t xml:space="preserve">a simple owner-operator of wholly owned hospitals. Max reports a “network” that includes MHIL, subsidiaries, silos, managed facilities and “Partner Healthcare Facilities” because management argues that financial exposure and operating control make the broader network the right analytical perimeter. That matters. The market and management usually discuss operating performance at the</w:t>
      </w:r>
      <w:r>
        <w:t xml:space="preserve"> </w:t>
      </w:r>
      <w:r>
        <w:rPr>
          <w:b/>
          <w:bCs/>
        </w:rPr>
        <w:t xml:space="preserve">network</w:t>
      </w:r>
      <w:r>
        <w:t xml:space="preserve"> </w:t>
      </w:r>
      <w:r>
        <w:t xml:space="preserve">level, while statutory Indian Accounting Standards consolidation is narrower. This is analytically useful, but it also means investors must reconcile two financial languages at once.</w:t>
      </w:r>
      <w:r>
        <w:t xml:space="preserve"> </w:t>
      </w:r>
      <w:hyperlink r:id="rId22">
        <w:r>
          <w:rPr>
            <w:rStyle w:val="Hyperlink"/>
          </w:rPr>
          <w:t xml:space="preserve">[13]</w:t>
        </w:r>
      </w:hyperlink>
    </w:p>
    <w:p>
      <w:pPr>
        <w:pStyle w:val="BodyText"/>
      </w:pPr>
      <w:r>
        <w:t xml:space="preserve">The investors page describes Max as operating</w:t>
      </w:r>
      <w:r>
        <w:t xml:space="preserve"> </w:t>
      </w:r>
      <w:r>
        <w:rPr>
          <w:b/>
          <w:bCs/>
        </w:rPr>
        <w:t xml:space="preserve">21 healthcare facilities with 6,000+ beds</w:t>
      </w:r>
      <w:r>
        <w:t xml:space="preserve"> </w:t>
      </w:r>
      <w:r>
        <w:t xml:space="preserve">across Delhi NCR, Haryana, Punjab, Uttarakhand, Maharashtra and Odisha, with almost 85% of bed capacity in metro or Tier-1 cities. The May 2026 investor presentation map shows roughly</w:t>
      </w:r>
      <w:r>
        <w:t xml:space="preserve"> </w:t>
      </w:r>
      <w:r>
        <w:rPr>
          <w:b/>
          <w:bCs/>
        </w:rPr>
        <w:t xml:space="preserve">6,128 installed beds</w:t>
      </w:r>
      <w:r>
        <w:t xml:space="preserve"> </w:t>
      </w:r>
      <w:r>
        <w:t xml:space="preserve">across the current facility map, while the audited Q4/FY26 operating update reported</w:t>
      </w:r>
      <w:r>
        <w:t xml:space="preserve"> </w:t>
      </w:r>
      <w:r>
        <w:rPr>
          <w:b/>
          <w:bCs/>
        </w:rPr>
        <w:t xml:space="preserve">4,966 operational beds as of Mar-26</w:t>
      </w:r>
      <w:r>
        <w:t xml:space="preserve">. The gap is explained by beds that are installed or commissioned but not yet fully handed over to operations, plus medical centres and other non-comparable facilities.</w:t>
      </w:r>
      <w:r>
        <w:t xml:space="preserve"> </w:t>
      </w:r>
      <w:hyperlink r:id="rId27">
        <w:r>
          <w:rPr>
            <w:rStyle w:val="Hyperlink"/>
          </w:rPr>
          <w:t xml:space="preserve">[14]</w:t>
        </w:r>
      </w:hyperlink>
    </w:p>
    <w:p>
      <w:pPr>
        <w:pStyle w:val="BodyText"/>
      </w:pPr>
      <w:r>
        <w:t xml:space="preserve">The current ownership structure is also important. As of 30 Jun 2026, promoters held</w:t>
      </w:r>
      <w:r>
        <w:t xml:space="preserve"> </w:t>
      </w:r>
      <w:r>
        <w:rPr>
          <w:b/>
          <w:bCs/>
        </w:rPr>
        <w:t xml:space="preserve">23.71%</w:t>
      </w:r>
      <w:r>
        <w:t xml:space="preserve">, domestic institutions</w:t>
      </w:r>
      <w:r>
        <w:t xml:space="preserve"> </w:t>
      </w:r>
      <w:r>
        <w:rPr>
          <w:b/>
          <w:bCs/>
        </w:rPr>
        <w:t xml:space="preserve">29.96%</w:t>
      </w:r>
      <w:r>
        <w:t xml:space="preserve">, foreign portfolio investors</w:t>
      </w:r>
      <w:r>
        <w:t xml:space="preserve"> </w:t>
      </w:r>
      <w:r>
        <w:rPr>
          <w:b/>
          <w:bCs/>
        </w:rPr>
        <w:t xml:space="preserve">41.78%</w:t>
      </w:r>
      <w:r>
        <w:t xml:space="preserve">, and non-institutional/public holders</w:t>
      </w:r>
      <w:r>
        <w:t xml:space="preserve"> </w:t>
      </w:r>
      <w:r>
        <w:rPr>
          <w:b/>
          <w:bCs/>
        </w:rPr>
        <w:t xml:space="preserve">4.56%</w:t>
      </w:r>
      <w:r>
        <w:t xml:space="preserve">. Promoter shares were</w:t>
      </w:r>
      <w:r>
        <w:t xml:space="preserve"> </w:t>
      </w:r>
      <w:r>
        <w:rPr>
          <w:b/>
          <w:bCs/>
        </w:rPr>
        <w:t xml:space="preserve">not pledged or encumbered</w:t>
      </w:r>
      <w:r>
        <w:t xml:space="preserve">. Mutual funds alone held</w:t>
      </w:r>
      <w:r>
        <w:t xml:space="preserve"> </w:t>
      </w:r>
      <w:r>
        <w:rPr>
          <w:b/>
          <w:bCs/>
        </w:rPr>
        <w:t xml:space="preserve">18.68%</w:t>
      </w:r>
      <w:r>
        <w:t xml:space="preserve">, while FPI ownership had reduced from</w:t>
      </w:r>
      <w:r>
        <w:t xml:space="preserve"> </w:t>
      </w:r>
      <w:r>
        <w:rPr>
          <w:b/>
          <w:bCs/>
        </w:rPr>
        <w:t xml:space="preserve">50.55% in Dec-25 to 41.78% in Jun-26</w:t>
      </w:r>
      <w:r>
        <w:t xml:space="preserve">, with DII ownership moving up from</w:t>
      </w:r>
      <w:r>
        <w:t xml:space="preserve"> </w:t>
      </w:r>
      <w:r>
        <w:rPr>
          <w:b/>
          <w:bCs/>
        </w:rPr>
        <w:t xml:space="preserve">21.20% to 29.95%</w:t>
      </w:r>
      <w:r>
        <w:t xml:space="preserve"> </w:t>
      </w:r>
      <w:r>
        <w:t xml:space="preserve">over the same period. That looks like a shift toward domestic institutional ownership rather than shareholder stress.</w:t>
      </w:r>
      <w:r>
        <w:t xml:space="preserve"> </w:t>
      </w:r>
      <w:hyperlink r:id="rId28">
        <w:r>
          <w:rPr>
            <w:rStyle w:val="Hyperlink"/>
          </w:rPr>
          <w:t xml:space="preserve">[15]</w:t>
        </w:r>
      </w:hyperlink>
    </w:p>
    <w:p>
      <w:pPr>
        <w:pStyle w:val="BodyText"/>
      </w:pPr>
      <w:r>
        <w:t xml:space="preserve">A hospital like Max makes money primarily by monetising bed days and clinical complexity. The simplest translation is:</w:t>
      </w:r>
    </w:p>
    <w:p>
      <w:pPr>
        <w:pStyle w:val="BodyText"/>
      </w:pPr>
      <w:r>
        <w:rPr>
          <w:b/>
          <w:bCs/>
        </w:rPr>
        <w:t xml:space="preserve">Average operational beds × 365 days × occupancy × ARPOB = indicative hospital gross revenue.</w:t>
      </w:r>
    </w:p>
    <w:p>
      <w:pPr>
        <w:pStyle w:val="BodyText"/>
      </w:pPr>
      <w:r>
        <w:t xml:space="preserve">ARPOB is defined by the company as</w:t>
      </w:r>
      <w:r>
        <w:t xml:space="preserve"> </w:t>
      </w:r>
      <w:r>
        <w:rPr>
          <w:b/>
          <w:bCs/>
        </w:rPr>
        <w:t xml:space="preserve">gross revenue divided by occupied bed days</w:t>
      </w:r>
      <w:r>
        <w:t xml:space="preserve">, excluding Max Lab operations. Because the numerator includes more than just room revenue and because the denominator is occupied bed days, ARPOB is really a blended monetisation metric for the hospital enterprise, not a room tariff metric. The formula does not perfectly reconcile with reported revenue because average beds during the period differ from period-end beds, ARPOB excludes Max Lab, discounts and institutional mix matter, and the network includes Max@Home and other operating income.</w:t>
      </w:r>
      <w:r>
        <w:t xml:space="preserve"> </w:t>
      </w:r>
      <w:hyperlink r:id="rId22">
        <w:r>
          <w:rPr>
            <w:rStyle w:val="Hyperlink"/>
          </w:rPr>
          <w:t xml:space="preserve">[16]</w:t>
        </w:r>
      </w:hyperlink>
    </w:p>
    <w:p>
      <w:pPr>
        <w:pStyle w:val="BodyText"/>
      </w:pPr>
      <w:r>
        <w:t xml:space="preserve">The economics are visible in FY26 numbers. Operational beds rose from</w:t>
      </w:r>
      <w:r>
        <w:t xml:space="preserve"> </w:t>
      </w:r>
      <w:r>
        <w:rPr>
          <w:b/>
          <w:bCs/>
        </w:rPr>
        <w:t xml:space="preserve">4,654 to 4,966</w:t>
      </w:r>
      <w:r>
        <w:t xml:space="preserve">, occupancy improved from</w:t>
      </w:r>
      <w:r>
        <w:t xml:space="preserve"> </w:t>
      </w:r>
      <w:r>
        <w:rPr>
          <w:b/>
          <w:bCs/>
        </w:rPr>
        <w:t xml:space="preserve">74% to 76%</w:t>
      </w:r>
      <w:r>
        <w:t xml:space="preserve">, ARPOB rose from</w:t>
      </w:r>
      <w:r>
        <w:t xml:space="preserve"> </w:t>
      </w:r>
      <w:r>
        <w:rPr>
          <w:b/>
          <w:bCs/>
        </w:rPr>
        <w:t xml:space="preserve">₹73.9k to ₹77.8k</w:t>
      </w:r>
      <w:r>
        <w:t xml:space="preserve">, and network gross revenue rose from</w:t>
      </w:r>
      <w:r>
        <w:t xml:space="preserve"> </w:t>
      </w:r>
      <w:r>
        <w:rPr>
          <w:b/>
          <w:bCs/>
        </w:rPr>
        <w:t xml:space="preserve">₹9,065 crore to ₹10,538 crore</w:t>
      </w:r>
      <w:r>
        <w:t xml:space="preserve">. That implies FY26 growth came from a combination of more operational bed days, better occupancy and higher monetisation per occupied bed day rather than from tariff alone. Management itself says the FY26 growth was “mainly led by increase in OBDs (+10% YoY),” while ARPOB added another ~5%.</w:t>
      </w:r>
      <w:r>
        <w:t xml:space="preserve"> </w:t>
      </w:r>
      <w:hyperlink r:id="rId22">
        <w:r>
          <w:rPr>
            <w:rStyle w:val="Hyperlink"/>
          </w:rPr>
          <w:t xml:space="preserve">[17]</w:t>
        </w:r>
      </w:hyperlink>
    </w:p>
    <w:p>
      <w:pPr>
        <w:pStyle w:val="BodyText"/>
      </w:pPr>
      <w:r>
        <w:t xml:space="preserve">The cost structure is a mix of variable and semi-fixed buckets. In Q4 FY26, direct costs were</w:t>
      </w:r>
      <w:r>
        <w:t xml:space="preserve"> </w:t>
      </w:r>
      <w:r>
        <w:rPr>
          <w:b/>
          <w:bCs/>
        </w:rPr>
        <w:t xml:space="preserve">41.1% of net revenue</w:t>
      </w:r>
      <w:r>
        <w:t xml:space="preserve">, contribution was</w:t>
      </w:r>
      <w:r>
        <w:t xml:space="preserve"> </w:t>
      </w:r>
      <w:r>
        <w:rPr>
          <w:b/>
          <w:bCs/>
        </w:rPr>
        <w:t xml:space="preserve">58.9%</w:t>
      </w:r>
      <w:r>
        <w:t xml:space="preserve">, indirect overheads were</w:t>
      </w:r>
      <w:r>
        <w:t xml:space="preserve"> </w:t>
      </w:r>
      <w:r>
        <w:rPr>
          <w:b/>
          <w:bCs/>
        </w:rPr>
        <w:t xml:space="preserve">32.0%</w:t>
      </w:r>
      <w:r>
        <w:t xml:space="preserve">, and operating EBITDA was</w:t>
      </w:r>
      <w:r>
        <w:t xml:space="preserve"> </w:t>
      </w:r>
      <w:r>
        <w:rPr>
          <w:b/>
          <w:bCs/>
        </w:rPr>
        <w:t xml:space="preserve">26.8%</w:t>
      </w:r>
      <w:r>
        <w:t xml:space="preserve">. The definitions are revealing: “contribution” is net revenue minus material cost, F&amp;B and salary/professional fees paid to clinicians credentialed for OPD consultations and IPD admissions. That means a meaningful part of doctor compensation flexes with activity rather than sitting entirely in fixed overhead. This is good for unit economics, but it also means the headline ARPOB premium does not drop straight through to EBITDA.</w:t>
      </w:r>
      <w:r>
        <w:t xml:space="preserve"> </w:t>
      </w:r>
      <w:hyperlink r:id="rId22">
        <w:r>
          <w:rPr>
            <w:rStyle w:val="Hyperlink"/>
          </w:rPr>
          <w:t xml:space="preserve">[18]</w:t>
        </w:r>
      </w:hyperlink>
    </w:p>
    <w:p>
      <w:pPr>
        <w:pStyle w:val="BodyText"/>
      </w:pPr>
      <w:r>
        <w:t xml:space="preserve">Payor mix is one of the most important value drivers. In FY26, self-pay was</w:t>
      </w:r>
      <w:r>
        <w:t xml:space="preserve"> </w:t>
      </w:r>
      <w:r>
        <w:rPr>
          <w:b/>
          <w:bCs/>
        </w:rPr>
        <w:t xml:space="preserve">34.2%</w:t>
      </w:r>
      <w:r>
        <w:t xml:space="preserve">, TPA/corporates</w:t>
      </w:r>
      <w:r>
        <w:t xml:space="preserve"> </w:t>
      </w:r>
      <w:r>
        <w:rPr>
          <w:b/>
          <w:bCs/>
        </w:rPr>
        <w:t xml:space="preserve">34.9%</w:t>
      </w:r>
      <w:r>
        <w:t xml:space="preserve">, international</w:t>
      </w:r>
      <w:r>
        <w:t xml:space="preserve"> </w:t>
      </w:r>
      <w:r>
        <w:rPr>
          <w:b/>
          <w:bCs/>
        </w:rPr>
        <w:t xml:space="preserve">9.1%</w:t>
      </w:r>
      <w:r>
        <w:t xml:space="preserve">, and institutional</w:t>
      </w:r>
      <w:r>
        <w:t xml:space="preserve"> </w:t>
      </w:r>
      <w:r>
        <w:rPr>
          <w:b/>
          <w:bCs/>
        </w:rPr>
        <w:t xml:space="preserve">21.9%</w:t>
      </w:r>
      <w:r>
        <w:t xml:space="preserve"> </w:t>
      </w:r>
      <w:r>
        <w:t xml:space="preserve">of revenue. In Q4 FY26, the mix was similar: self-pay</w:t>
      </w:r>
      <w:r>
        <w:t xml:space="preserve"> </w:t>
      </w:r>
      <w:r>
        <w:rPr>
          <w:b/>
          <w:bCs/>
        </w:rPr>
        <w:t xml:space="preserve">32.8%</w:t>
      </w:r>
      <w:r>
        <w:t xml:space="preserve">, insurance/corporates</w:t>
      </w:r>
      <w:r>
        <w:t xml:space="preserve"> </w:t>
      </w:r>
      <w:r>
        <w:rPr>
          <w:b/>
          <w:bCs/>
        </w:rPr>
        <w:t xml:space="preserve">36.5%</w:t>
      </w:r>
      <w:r>
        <w:t xml:space="preserve">, international</w:t>
      </w:r>
      <w:r>
        <w:t xml:space="preserve"> </w:t>
      </w:r>
      <w:r>
        <w:rPr>
          <w:b/>
          <w:bCs/>
        </w:rPr>
        <w:t xml:space="preserve">9.1%</w:t>
      </w:r>
      <w:r>
        <w:t xml:space="preserve">, and institutional</w:t>
      </w:r>
      <w:r>
        <w:t xml:space="preserve"> </w:t>
      </w:r>
      <w:r>
        <w:rPr>
          <w:b/>
          <w:bCs/>
        </w:rPr>
        <w:t xml:space="preserve">21.6%</w:t>
      </w:r>
      <w:r>
        <w:t xml:space="preserve">. The company does</w:t>
      </w:r>
      <w:r>
        <w:t xml:space="preserve"> </w:t>
      </w:r>
      <w:r>
        <w:rPr>
          <w:b/>
          <w:bCs/>
        </w:rPr>
        <w:t xml:space="preserve">not</w:t>
      </w:r>
      <w:r>
        <w:t xml:space="preserve"> </w:t>
      </w:r>
      <w:r>
        <w:t xml:space="preserve">separately disclose CGHS, ECHS and PMJAY in the reviewed materials; the safest interpretation is that most of those flow through the institutional bucket, with parts of contracted corporate business sitting in the TPA/corporate channel. The important analytical point is that nearly four-fifths of the mix remains outside the lowest-tariff public schemes, supporting ARPOB.</w:t>
      </w:r>
      <w:r>
        <w:t xml:space="preserve"> </w:t>
      </w:r>
      <w:hyperlink r:id="rId22">
        <w:r>
          <w:rPr>
            <w:rStyle w:val="Hyperlink"/>
          </w:rPr>
          <w:t xml:space="preserve">[19]</w:t>
        </w:r>
      </w:hyperlink>
    </w:p>
    <w:p>
      <w:pPr>
        <w:pStyle w:val="BodyText"/>
      </w:pPr>
      <w:r>
        <w:t xml:space="preserve">Specialty mix also matters. In Q4 FY26, oncology was still the largest IP revenue specialty at</w:t>
      </w:r>
      <w:r>
        <w:t xml:space="preserve"> </w:t>
      </w:r>
      <w:r>
        <w:rPr>
          <w:b/>
          <w:bCs/>
        </w:rPr>
        <w:t xml:space="preserve">21.2%</w:t>
      </w:r>
      <w:r>
        <w:t xml:space="preserve">, followed by cardiac sciences</w:t>
      </w:r>
      <w:r>
        <w:t xml:space="preserve"> </w:t>
      </w:r>
      <w:r>
        <w:rPr>
          <w:b/>
          <w:bCs/>
        </w:rPr>
        <w:t xml:space="preserve">11.5%</w:t>
      </w:r>
      <w:r>
        <w:t xml:space="preserve">, orthopedics</w:t>
      </w:r>
      <w:r>
        <w:t xml:space="preserve"> </w:t>
      </w:r>
      <w:r>
        <w:rPr>
          <w:b/>
          <w:bCs/>
        </w:rPr>
        <w:t xml:space="preserve">11.0%</w:t>
      </w:r>
      <w:r>
        <w:t xml:space="preserve">, neurosciences</w:t>
      </w:r>
      <w:r>
        <w:t xml:space="preserve"> </w:t>
      </w:r>
      <w:r>
        <w:rPr>
          <w:b/>
          <w:bCs/>
        </w:rPr>
        <w:t xml:space="preserve">10.5%</w:t>
      </w:r>
      <w:r>
        <w:t xml:space="preserve"> </w:t>
      </w:r>
      <w:r>
        <w:t xml:space="preserve">and renal sciences</w:t>
      </w:r>
      <w:r>
        <w:t xml:space="preserve"> </w:t>
      </w:r>
      <w:r>
        <w:rPr>
          <w:b/>
          <w:bCs/>
        </w:rPr>
        <w:t xml:space="preserve">9.7%</w:t>
      </w:r>
      <w:r>
        <w:t xml:space="preserve">. That is a high-acuity portfolio. But one subtle warning sign appeared in FY26: Max disclosed that oncology’s share was lower because of the discontinuation of certain high-value patented chemotherapy drugs for institutional patients due to new MOU conditionalities. That proves two things simultaneously: Max’s case mix is genuinely acute, but its revenue mix is not immune to institutional pricing changes.</w:t>
      </w:r>
      <w:r>
        <w:t xml:space="preserve"> </w:t>
      </w:r>
      <w:hyperlink r:id="rId22">
        <w:r>
          <w:rPr>
            <w:rStyle w:val="Hyperlink"/>
          </w:rPr>
          <w:t xml:space="preserve">[20]</w:t>
        </w:r>
      </w:hyperlink>
    </w:p>
    <w:p>
      <w:pPr>
        <w:pStyle w:val="BodyText"/>
      </w:pPr>
      <w:r>
        <w:t xml:space="preserve">The company’s capital-light adjacencies remain strategically useful but economically secondary. Max Lab’s Q4 FY26 net revenue was</w:t>
      </w:r>
      <w:r>
        <w:t xml:space="preserve"> </w:t>
      </w:r>
      <w:r>
        <w:rPr>
          <w:b/>
          <w:bCs/>
        </w:rPr>
        <w:t xml:space="preserve">₹52 crore</w:t>
      </w:r>
      <w:r>
        <w:t xml:space="preserve"> </w:t>
      </w:r>
      <w:r>
        <w:t xml:space="preserve">with</w:t>
      </w:r>
      <w:r>
        <w:t xml:space="preserve"> </w:t>
      </w:r>
      <w:r>
        <w:rPr>
          <w:b/>
          <w:bCs/>
        </w:rPr>
        <w:t xml:space="preserve">₹8.6 crore EBITDA</w:t>
      </w:r>
      <w:r>
        <w:t xml:space="preserve">, and the business had</w:t>
      </w:r>
      <w:r>
        <w:t xml:space="preserve"> </w:t>
      </w:r>
      <w:r>
        <w:rPr>
          <w:b/>
          <w:bCs/>
        </w:rPr>
        <w:t xml:space="preserve">600+ collection centres, 830+ pick-up points and 53 processing labs</w:t>
      </w:r>
      <w:r>
        <w:t xml:space="preserve"> </w:t>
      </w:r>
      <w:r>
        <w:t xml:space="preserve">as of Mar-26. Max@Home delivered</w:t>
      </w:r>
      <w:r>
        <w:t xml:space="preserve"> </w:t>
      </w:r>
      <w:r>
        <w:rPr>
          <w:b/>
          <w:bCs/>
        </w:rPr>
        <w:t xml:space="preserve">₹73 crore</w:t>
      </w:r>
      <w:r>
        <w:t xml:space="preserve"> </w:t>
      </w:r>
      <w:r>
        <w:t xml:space="preserve">of revenue in Q4 FY26, up 30% YoY. These businesses improve patient capture and brand extension, but they are not the primary reason the equity is valued where it is. That value still sits in the hospital network.</w:t>
      </w:r>
      <w:r>
        <w:t xml:space="preserve"> </w:t>
      </w:r>
      <w:hyperlink r:id="rId22">
        <w:r>
          <w:rPr>
            <w:rStyle w:val="Hyperlink"/>
          </w:rPr>
          <w:t xml:space="preserve">[21]</w:t>
        </w:r>
      </w:hyperlink>
    </w:p>
    <w:bookmarkEnd w:id="29"/>
    <w:bookmarkStart w:id="33" w:name="Xe218468014a8f6225d12f239d944648c582509a"/>
    <w:p>
      <w:pPr>
        <w:pStyle w:val="Heading2"/>
      </w:pPr>
      <w:r>
        <w:t xml:space="preserve">Industry structure and competitive position</w:t>
      </w:r>
    </w:p>
    <w:p>
      <w:pPr>
        <w:pStyle w:val="FirstParagraph"/>
      </w:pPr>
      <w:r>
        <w:t xml:space="preserve">The Indian hospital market remains structurally supported by a demand-supply gap. The World Bank data page still shows India at about</w:t>
      </w:r>
      <w:r>
        <w:t xml:space="preserve"> </w:t>
      </w:r>
      <w:r>
        <w:rPr>
          <w:b/>
          <w:bCs/>
        </w:rPr>
        <w:t xml:space="preserve">0.6 hospital beds per 1,000 people</w:t>
      </w:r>
      <w:r>
        <w:t xml:space="preserve">, while a December 2024 Parliamentary answer cited by PIB reiterated that National Health Policy 2017 had recommended</w:t>
      </w:r>
      <w:r>
        <w:t xml:space="preserve"> </w:t>
      </w:r>
      <w:r>
        <w:rPr>
          <w:b/>
          <w:bCs/>
        </w:rPr>
        <w:t xml:space="preserve">2 beds per 1,000 population</w:t>
      </w:r>
      <w:r>
        <w:t xml:space="preserve"> </w:t>
      </w:r>
      <w:r>
        <w:t xml:space="preserve">and reported</w:t>
      </w:r>
      <w:r>
        <w:t xml:space="preserve"> </w:t>
      </w:r>
      <w:r>
        <w:rPr>
          <w:b/>
          <w:bCs/>
        </w:rPr>
        <w:t xml:space="preserve">8,18,661 public-sector beds</w:t>
      </w:r>
      <w:r>
        <w:t xml:space="preserve"> </w:t>
      </w:r>
      <w:r>
        <w:t xml:space="preserve">across PHCs, CHCs, SDHs, district hospitals and medical colleges as of 31 Mar 2023. That combination — low bed density and limited public capacity expansion — is the starting point for the listed private hospital thesis.</w:t>
      </w:r>
      <w:r>
        <w:t xml:space="preserve"> </w:t>
      </w:r>
      <w:hyperlink r:id="rId30">
        <w:r>
          <w:rPr>
            <w:rStyle w:val="Hyperlink"/>
          </w:rPr>
          <w:t xml:space="preserve">[22]</w:t>
        </w:r>
      </w:hyperlink>
    </w:p>
    <w:p>
      <w:pPr>
        <w:pStyle w:val="BodyText"/>
      </w:pPr>
      <w:r>
        <w:t xml:space="preserve">Demand drivers are not hard to identify. Insurance depth continues to broaden. IRDAI’s Annual Report 2024-25 showed health insurance premium underwritten by general and health insurers rising from</w:t>
      </w:r>
      <w:r>
        <w:t xml:space="preserve"> </w:t>
      </w:r>
      <w:r>
        <w:rPr>
          <w:b/>
          <w:bCs/>
        </w:rPr>
        <w:t xml:space="preserve">₹1,07,681 crore to ₹1,17,505 crore</w:t>
      </w:r>
      <w:r>
        <w:t xml:space="preserve"> </w:t>
      </w:r>
      <w:r>
        <w:t xml:space="preserve">in FY25. The government also stated in Feb-26 that India had</w:t>
      </w:r>
      <w:r>
        <w:t xml:space="preserve"> </w:t>
      </w:r>
      <w:r>
        <w:rPr>
          <w:b/>
          <w:bCs/>
        </w:rPr>
        <w:t xml:space="preserve">39.4 lakh nursing personnel</w:t>
      </w:r>
      <w:r>
        <w:t xml:space="preserve">, around</w:t>
      </w:r>
      <w:r>
        <w:t xml:space="preserve"> </w:t>
      </w:r>
      <w:r>
        <w:rPr>
          <w:b/>
          <w:bCs/>
        </w:rPr>
        <w:t xml:space="preserve">13.9 lakh registered allopathic doctors</w:t>
      </w:r>
      <w:r>
        <w:t xml:space="preserve">, and an estimated doctor-population ratio of</w:t>
      </w:r>
      <w:r>
        <w:t xml:space="preserve"> </w:t>
      </w:r>
      <w:r>
        <w:rPr>
          <w:b/>
          <w:bCs/>
        </w:rPr>
        <w:t xml:space="preserve">1:811</w:t>
      </w:r>
      <w:r>
        <w:t xml:space="preserve"> </w:t>
      </w:r>
      <w:r>
        <w:t xml:space="preserve">when allopathic and AYUSH availability is adjusted — better than the WHO threshold on paper, but still not equivalent to abundant specialist availability in private metro hospitals. Demand is broadening faster than high-skill private supply.</w:t>
      </w:r>
      <w:r>
        <w:t xml:space="preserve"> </w:t>
      </w:r>
      <w:hyperlink r:id="rId31">
        <w:r>
          <w:rPr>
            <w:rStyle w:val="Hyperlink"/>
          </w:rPr>
          <w:t xml:space="preserve">[23]</w:t>
        </w:r>
      </w:hyperlink>
    </w:p>
    <w:p>
      <w:pPr>
        <w:pStyle w:val="BodyText"/>
      </w:pPr>
      <w:r>
        <w:t xml:space="preserve">Industry operating conditions have stayed unusually favourable. ICRA said in Dec-25/Jun-26 that its listed-hospital sample was expected to grow revenue</w:t>
      </w:r>
      <w:r>
        <w:t xml:space="preserve"> </w:t>
      </w:r>
      <w:r>
        <w:rPr>
          <w:b/>
          <w:bCs/>
        </w:rPr>
        <w:t xml:space="preserve">16-18% in FY26</w:t>
      </w:r>
      <w:r>
        <w:t xml:space="preserve"> </w:t>
      </w:r>
      <w:r>
        <w:t xml:space="preserve">and</w:t>
      </w:r>
      <w:r>
        <w:t xml:space="preserve"> </w:t>
      </w:r>
      <w:r>
        <w:rPr>
          <w:b/>
          <w:bCs/>
        </w:rPr>
        <w:t xml:space="preserve">18-20% in FY27</w:t>
      </w:r>
      <w:r>
        <w:t xml:space="preserve">, with occupancy in the</w:t>
      </w:r>
      <w:r>
        <w:t xml:space="preserve"> </w:t>
      </w:r>
      <w:r>
        <w:rPr>
          <w:b/>
          <w:bCs/>
        </w:rPr>
        <w:t xml:space="preserve">62-64%</w:t>
      </w:r>
      <w:r>
        <w:t xml:space="preserve"> </w:t>
      </w:r>
      <w:r>
        <w:t xml:space="preserve">range and healthy ARPOB growth from case mix and pricing. Max’s own FY26 numbers broadly fit that pattern, but at a higher ARPOB and occupancy than the sector average. That is evidence of a real structural tailwind — but it is also evidence that the entire sector is enjoying a good part of the same wind. Investors must separate structural growth from company-specific alpha.</w:t>
      </w:r>
      <w:r>
        <w:t xml:space="preserve"> </w:t>
      </w:r>
      <w:hyperlink r:id="rId32">
        <w:r>
          <w:rPr>
            <w:rStyle w:val="Hyperlink"/>
          </w:rPr>
          <w:t xml:space="preserve">[24]</w:t>
        </w:r>
      </w:hyperlink>
    </w:p>
    <w:p>
      <w:pPr>
        <w:pStyle w:val="BodyText"/>
      </w:pPr>
      <w:r>
        <w:t xml:space="preserve">Do Indian hospitals have pricing power? Yes, but it is</w:t>
      </w:r>
      <w:r>
        <w:t xml:space="preserve"> </w:t>
      </w:r>
      <w:r>
        <w:rPr>
          <w:b/>
          <w:bCs/>
        </w:rPr>
        <w:t xml:space="preserve">qualified</w:t>
      </w:r>
      <w:r>
        <w:t xml:space="preserve"> </w:t>
      </w:r>
      <w:r>
        <w:t xml:space="preserve">pricing power. ARPOB growth comes from a mix of tariff, case-mix upgrade, procedure complexity, international patients and department mix, not pure price. Max’s FY26 ARPOB rose</w:t>
      </w:r>
      <w:r>
        <w:t xml:space="preserve"> </w:t>
      </w:r>
      <w:r>
        <w:rPr>
          <w:b/>
          <w:bCs/>
        </w:rPr>
        <w:t xml:space="preserve">5%</w:t>
      </w:r>
      <w:r>
        <w:t xml:space="preserve">, while ICRA expected industry ARPOB to rise</w:t>
      </w:r>
      <w:r>
        <w:t xml:space="preserve"> </w:t>
      </w:r>
      <w:r>
        <w:rPr>
          <w:b/>
          <w:bCs/>
        </w:rPr>
        <w:t xml:space="preserve">6-8%</w:t>
      </w:r>
      <w:r>
        <w:t xml:space="preserve">. At the same time, Reuters reported in Jul-25 that the government and IRDAI were considering tighter oversight of the National Health Claims Exchange because officials believed hospitals were inflating insured treatment costs; the same article cited medical inflation of</w:t>
      </w:r>
      <w:r>
        <w:t xml:space="preserve"> </w:t>
      </w:r>
      <w:r>
        <w:rPr>
          <w:b/>
          <w:bCs/>
        </w:rPr>
        <w:t xml:space="preserve">13% in 2025</w:t>
      </w:r>
      <w:r>
        <w:t xml:space="preserve">. That is the correct analytical frame: private hospitals have pricing power today, but the better they use it, the more likely payors and regulators are to push back.</w:t>
      </w:r>
      <w:r>
        <w:t xml:space="preserve"> </w:t>
      </w:r>
      <w:hyperlink r:id="rId22">
        <w:r>
          <w:rPr>
            <w:rStyle w:val="Hyperlink"/>
          </w:rPr>
          <w:t xml:space="preserve">[25]</w:t>
        </w:r>
      </w:hyperlink>
    </w:p>
    <w:p>
      <w:pPr>
        <w:pStyle w:val="BodyText"/>
      </w:pPr>
      <w:r>
        <w:t xml:space="preserve">Where Max is genuinely differentiated is geography and monetisation. The company’s May 2026 peer slide shows Max with</w:t>
      </w:r>
      <w:r>
        <w:t xml:space="preserve"> </w:t>
      </w:r>
      <w:r>
        <w:rPr>
          <w:b/>
          <w:bCs/>
        </w:rPr>
        <w:t xml:space="preserve">~73%</w:t>
      </w:r>
      <w:r>
        <w:t xml:space="preserve"> </w:t>
      </w:r>
      <w:r>
        <w:t xml:space="preserve">of bed capacity in key metros and</w:t>
      </w:r>
      <w:r>
        <w:t xml:space="preserve"> </w:t>
      </w:r>
      <w:r>
        <w:rPr>
          <w:b/>
          <w:bCs/>
        </w:rPr>
        <w:t xml:space="preserve">FY26 ARPOB of ₹78k</w:t>
      </w:r>
      <w:r>
        <w:t xml:space="preserve">, versus</w:t>
      </w:r>
      <w:r>
        <w:t xml:space="preserve"> </w:t>
      </w:r>
      <w:r>
        <w:rPr>
          <w:b/>
          <w:bCs/>
        </w:rPr>
        <w:t xml:space="preserve">₹67k for Medanta</w:t>
      </w:r>
      <w:r>
        <w:t xml:space="preserve">,</w:t>
      </w:r>
      <w:r>
        <w:t xml:space="preserve"> </w:t>
      </w:r>
      <w:r>
        <w:rPr>
          <w:b/>
          <w:bCs/>
        </w:rPr>
        <w:t xml:space="preserve">₹63k for Apollo</w:t>
      </w:r>
      <w:r>
        <w:t xml:space="preserve">, and</w:t>
      </w:r>
      <w:r>
        <w:t xml:space="preserve"> </w:t>
      </w:r>
      <w:r>
        <w:rPr>
          <w:b/>
          <w:bCs/>
        </w:rPr>
        <w:t xml:space="preserve">₹45k for Narayana</w:t>
      </w:r>
      <w:r>
        <w:t xml:space="preserve"> </w:t>
      </w:r>
      <w:r>
        <w:t xml:space="preserve">in the company’s peer data. The same slide shows Max at</w:t>
      </w:r>
      <w:r>
        <w:t xml:space="preserve"> </w:t>
      </w:r>
      <w:r>
        <w:rPr>
          <w:b/>
          <w:bCs/>
        </w:rPr>
        <w:t xml:space="preserve">76% occupancy</w:t>
      </w:r>
      <w:r>
        <w:t xml:space="preserve"> </w:t>
      </w:r>
      <w:r>
        <w:t xml:space="preserve">and</w:t>
      </w:r>
      <w:r>
        <w:t xml:space="preserve"> </w:t>
      </w:r>
      <w:r>
        <w:rPr>
          <w:b/>
          <w:bCs/>
        </w:rPr>
        <w:t xml:space="preserve">₹72 lakh EBITDA per bed</w:t>
      </w:r>
      <w:r>
        <w:t xml:space="preserve"> </w:t>
      </w:r>
      <w:r>
        <w:t xml:space="preserve">in FY26, again ahead of the peers shown there on those metrics. Because this is a company-prepared peer set using company-adjusted methodology, I treat it as directional rather than definitive. Even so, the direction is credible and consistent with Max’s NCR/Mumbai skew.</w:t>
      </w:r>
      <w:r>
        <w:t xml:space="preserve"> </w:t>
      </w:r>
      <w:hyperlink r:id="rId23">
        <w:r>
          <w:rPr>
            <w:rStyle w:val="Hyperlink"/>
          </w:rPr>
          <w:t xml:space="preserve">[26]</w:t>
        </w:r>
      </w:hyperlink>
    </w:p>
    <w:p>
      <w:pPr>
        <w:pStyle w:val="BodyText"/>
      </w:pPr>
      <w:r>
        <w:t xml:space="preserve">Where Max’s perceived advantage may be overstated is in extrapolating NCR economics across India. Delhi is still the engine. In Q4 FY26,</w:t>
      </w:r>
      <w:r>
        <w:t xml:space="preserve"> </w:t>
      </w:r>
      <w:r>
        <w:rPr>
          <w:b/>
          <w:bCs/>
        </w:rPr>
        <w:t xml:space="preserve">Delhi alone contributed 54.6%</w:t>
      </w:r>
      <w:r>
        <w:t xml:space="preserve"> </w:t>
      </w:r>
      <w:r>
        <w:t xml:space="preserve">of hospital revenue reported by region, with</w:t>
      </w:r>
      <w:r>
        <w:t xml:space="preserve"> </w:t>
      </w:r>
      <w:r>
        <w:rPr>
          <w:b/>
          <w:bCs/>
        </w:rPr>
        <w:t xml:space="preserve">2,411 operational beds</w:t>
      </w:r>
      <w:r>
        <w:t xml:space="preserve"> </w:t>
      </w:r>
      <w:r>
        <w:t xml:space="preserve">operating at</w:t>
      </w:r>
      <w:r>
        <w:t xml:space="preserve"> </w:t>
      </w:r>
      <w:r>
        <w:rPr>
          <w:b/>
          <w:bCs/>
        </w:rPr>
        <w:t xml:space="preserve">80% occupancy</w:t>
      </w:r>
      <w:r>
        <w:t xml:space="preserve">. Uttar Pradesh contributed</w:t>
      </w:r>
      <w:r>
        <w:t xml:space="preserve"> </w:t>
      </w:r>
      <w:r>
        <w:rPr>
          <w:b/>
          <w:bCs/>
        </w:rPr>
        <w:t xml:space="preserve">21.4%</w:t>
      </w:r>
      <w:r>
        <w:t xml:space="preserve">, Maharashtra</w:t>
      </w:r>
      <w:r>
        <w:t xml:space="preserve"> </w:t>
      </w:r>
      <w:r>
        <w:rPr>
          <w:b/>
          <w:bCs/>
        </w:rPr>
        <w:t xml:space="preserve">11.1%</w:t>
      </w:r>
      <w:r>
        <w:t xml:space="preserve">, Punjab</w:t>
      </w:r>
      <w:r>
        <w:t xml:space="preserve"> </w:t>
      </w:r>
      <w:r>
        <w:rPr>
          <w:b/>
          <w:bCs/>
        </w:rPr>
        <w:t xml:space="preserve">6.3%</w:t>
      </w:r>
      <w:r>
        <w:t xml:space="preserve">, Uttarakhand</w:t>
      </w:r>
      <w:r>
        <w:t xml:space="preserve"> </w:t>
      </w:r>
      <w:r>
        <w:rPr>
          <w:b/>
          <w:bCs/>
        </w:rPr>
        <w:t xml:space="preserve">3.7%</w:t>
      </w:r>
      <w:r>
        <w:t xml:space="preserve">, and Haryana</w:t>
      </w:r>
      <w:r>
        <w:t xml:space="preserve"> </w:t>
      </w:r>
      <w:r>
        <w:rPr>
          <w:b/>
          <w:bCs/>
        </w:rPr>
        <w:t xml:space="preserve">2.9%</w:t>
      </w:r>
      <w:r>
        <w:t xml:space="preserve">. That concentration is currently a strength because NCR has strong monetisation. It becomes a risk if growth increasingly depends on lower-ARPOB cities or on execution outside the company’s deepest doctor catchments.</w:t>
      </w:r>
      <w:r>
        <w:t xml:space="preserve"> </w:t>
      </w:r>
      <w:hyperlink r:id="rId22">
        <w:r>
          <w:rPr>
            <w:rStyle w:val="Hyperlink"/>
          </w:rPr>
          <w:t xml:space="preserve">[27]</w:t>
        </w:r>
      </w:hyperlink>
    </w:p>
    <w:bookmarkEnd w:id="33"/>
    <w:bookmarkStart w:id="37" w:name="X0f7c16af0388b2eb8a15653679c8c6349b61828"/>
    <w:p>
      <w:pPr>
        <w:pStyle w:val="Heading2"/>
      </w:pPr>
      <w:r>
        <w:t xml:space="preserve">Portfolio, expansion, acquisitions, management and controversies</w:t>
      </w:r>
    </w:p>
    <w:p>
      <w:pPr>
        <w:pStyle w:val="FirstParagraph"/>
      </w:pPr>
      <w:r>
        <w:t xml:space="preserve">The current portfolio can be split into three economic buckets. The first is the</w:t>
      </w:r>
      <w:r>
        <w:t xml:space="preserve"> </w:t>
      </w:r>
      <w:r>
        <w:rPr>
          <w:b/>
          <w:bCs/>
        </w:rPr>
        <w:t xml:space="preserve">mature metro core</w:t>
      </w:r>
      <w:r>
        <w:t xml:space="preserve">: Saket East Block, Max Smart Saket, BLK-Max, Shalimar Bagh, Patparganj, Vaishali, Noida and the older parts of Nanavati. The second is the</w:t>
      </w:r>
      <w:r>
        <w:t xml:space="preserve"> </w:t>
      </w:r>
      <w:r>
        <w:rPr>
          <w:b/>
          <w:bCs/>
        </w:rPr>
        <w:t xml:space="preserve">recently acquired / ramping cluster</w:t>
      </w:r>
      <w:r>
        <w:t xml:space="preserve">: Lucknow, Nagpur, the Jaypee/Crosslay assets, Kalinga, the new Smart Saket tower and Nanavati Tower 2. The third is the</w:t>
      </w:r>
      <w:r>
        <w:t xml:space="preserve"> </w:t>
      </w:r>
      <w:r>
        <w:rPr>
          <w:b/>
          <w:bCs/>
        </w:rPr>
        <w:t xml:space="preserve">managed / asset-light / partner layer</w:t>
      </w:r>
      <w:r>
        <w:t xml:space="preserve">: Mohali and Bathinda under Punjab PPP, partner healthcare facilities in the “network” memorandum consolidation, and the new long-term lease/O&amp;M pipeline in Mohali, Thane, Dehradun and Pitampura.</w:t>
      </w:r>
      <w:r>
        <w:t xml:space="preserve"> </w:t>
      </w:r>
      <w:hyperlink r:id="rId23">
        <w:r>
          <w:rPr>
            <w:rStyle w:val="Hyperlink"/>
          </w:rPr>
          <w:t xml:space="preserve">[28]</w:t>
        </w:r>
      </w:hyperlink>
    </w:p>
    <w:p>
      <w:pPr>
        <w:pStyle w:val="BodyText"/>
      </w:pPr>
      <w:r>
        <w:t xml:space="preserve">A practical hospital list, using the company’s May 2026 capacity map, is below. The installed bed numbers are from the company’s map as of 15 May 2026; the group’s operational bed disclosure is available only at the regional level, not for each hospital individually.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Facility</w:t>
            </w:r>
          </w:p>
        </w:tc>
        <w:tc>
          <w:tcPr/>
          <w:p>
            <w:pPr>
              <w:pStyle w:val="Compact"/>
            </w:pPr>
            <w:r>
              <w:t xml:space="preserve">City/region</w:t>
            </w:r>
          </w:p>
        </w:tc>
        <w:tc>
          <w:tcPr/>
          <w:p>
            <w:pPr>
              <w:pStyle w:val="Compact"/>
              <w:jc w:val="right"/>
            </w:pPr>
            <w:r>
              <w:t xml:space="preserve">Installed beds on company map</w:t>
            </w:r>
          </w:p>
        </w:tc>
        <w:tc>
          <w:tcPr/>
          <w:p>
            <w:pPr>
              <w:pStyle w:val="Compact"/>
            </w:pPr>
            <w:r>
              <w:t xml:space="preserve">Portfolio role</w:t>
            </w:r>
          </w:p>
        </w:tc>
      </w:tr>
      <w:tr>
        <w:tc>
          <w:tcPr/>
          <w:p>
            <w:pPr>
              <w:pStyle w:val="Compact"/>
            </w:pPr>
            <w:r>
              <w:t xml:space="preserve">Max Smart Super Speciality Hospital</w:t>
            </w:r>
          </w:p>
        </w:tc>
        <w:tc>
          <w:tcPr/>
          <w:p>
            <w:pPr>
              <w:pStyle w:val="Compact"/>
            </w:pPr>
            <w:r>
              <w:t xml:space="preserve">Saket, Delhi</w:t>
            </w:r>
          </w:p>
        </w:tc>
        <w:tc>
          <w:tcPr/>
          <w:p>
            <w:pPr>
              <w:pStyle w:val="Compact"/>
              <w:jc w:val="right"/>
            </w:pPr>
            <w:r>
              <w:t xml:space="preserve">650</w:t>
            </w:r>
          </w:p>
        </w:tc>
        <w:tc>
          <w:tcPr/>
          <w:p>
            <w:pPr>
              <w:pStyle w:val="Compact"/>
            </w:pPr>
            <w:r>
              <w:t xml:space="preserve">Core hub; major brownfield expansion commissioned Apr-26</w:t>
            </w:r>
          </w:p>
        </w:tc>
      </w:tr>
      <w:tr>
        <w:tc>
          <w:tcPr/>
          <w:p>
            <w:pPr>
              <w:pStyle w:val="Compact"/>
            </w:pPr>
            <w:r>
              <w:t xml:space="preserve">Max Super Speciality Hospital</w:t>
            </w:r>
          </w:p>
        </w:tc>
        <w:tc>
          <w:tcPr/>
          <w:p>
            <w:pPr>
              <w:pStyle w:val="Compact"/>
            </w:pPr>
            <w:r>
              <w:t xml:space="preserve">Saket, Delhi</w:t>
            </w:r>
          </w:p>
        </w:tc>
        <w:tc>
          <w:tcPr/>
          <w:p>
            <w:pPr>
              <w:pStyle w:val="Compact"/>
              <w:jc w:val="right"/>
            </w:pPr>
            <w:r>
              <w:t xml:space="preserve">514</w:t>
            </w:r>
          </w:p>
        </w:tc>
        <w:tc>
          <w:tcPr/>
          <w:p>
            <w:pPr>
              <w:pStyle w:val="Compact"/>
            </w:pPr>
            <w:r>
              <w:t xml:space="preserve">Core mature flagship</w:t>
            </w:r>
          </w:p>
        </w:tc>
      </w:tr>
      <w:tr>
        <w:tc>
          <w:tcPr/>
          <w:p>
            <w:pPr>
              <w:pStyle w:val="Compact"/>
            </w:pPr>
            <w:r>
              <w:t xml:space="preserve">BLK-Max Super Speciality Hospital</w:t>
            </w:r>
          </w:p>
        </w:tc>
        <w:tc>
          <w:tcPr/>
          <w:p>
            <w:pPr>
              <w:pStyle w:val="Compact"/>
            </w:pPr>
            <w:r>
              <w:t xml:space="preserve">Rajendra Place, Delhi</w:t>
            </w:r>
          </w:p>
        </w:tc>
        <w:tc>
          <w:tcPr/>
          <w:p>
            <w:pPr>
              <w:pStyle w:val="Compact"/>
              <w:jc w:val="right"/>
            </w:pPr>
            <w:r>
              <w:t xml:space="preserve">539</w:t>
            </w:r>
          </w:p>
        </w:tc>
        <w:tc>
          <w:tcPr/>
          <w:p>
            <w:pPr>
              <w:pStyle w:val="Compact"/>
            </w:pPr>
            <w:r>
              <w:t xml:space="preserve">Core earnings asset; premium tertiary care</w:t>
            </w:r>
          </w:p>
        </w:tc>
      </w:tr>
      <w:tr>
        <w:tc>
          <w:tcPr/>
          <w:p>
            <w:pPr>
              <w:pStyle w:val="Compact"/>
            </w:pPr>
            <w:r>
              <w:t xml:space="preserve">Max Super Speciality Hospital</w:t>
            </w:r>
          </w:p>
        </w:tc>
        <w:tc>
          <w:tcPr/>
          <w:p>
            <w:pPr>
              <w:pStyle w:val="Compact"/>
            </w:pPr>
            <w:r>
              <w:t xml:space="preserve">Shalimar Bagh, Delhi</w:t>
            </w:r>
          </w:p>
        </w:tc>
        <w:tc>
          <w:tcPr/>
          <w:p>
            <w:pPr>
              <w:pStyle w:val="Compact"/>
              <w:jc w:val="right"/>
            </w:pPr>
            <w:r>
              <w:t xml:space="preserve">445</w:t>
            </w:r>
          </w:p>
        </w:tc>
        <w:tc>
          <w:tcPr/>
          <w:p>
            <w:pPr>
              <w:pStyle w:val="Compact"/>
            </w:pPr>
            <w:r>
              <w:t xml:space="preserve">Core mature asset</w:t>
            </w:r>
          </w:p>
        </w:tc>
      </w:tr>
      <w:tr>
        <w:tc>
          <w:tcPr/>
          <w:p>
            <w:pPr>
              <w:pStyle w:val="Compact"/>
            </w:pPr>
            <w:r>
              <w:t xml:space="preserve">Max Super Speciality Hospital</w:t>
            </w:r>
          </w:p>
        </w:tc>
        <w:tc>
          <w:tcPr/>
          <w:p>
            <w:pPr>
              <w:pStyle w:val="Compact"/>
            </w:pPr>
            <w:r>
              <w:t xml:space="preserve">Patparganj, Delhi</w:t>
            </w:r>
          </w:p>
        </w:tc>
        <w:tc>
          <w:tcPr/>
          <w:p>
            <w:pPr>
              <w:pStyle w:val="Compact"/>
              <w:jc w:val="right"/>
            </w:pPr>
            <w:r>
              <w:t xml:space="preserve">402</w:t>
            </w:r>
          </w:p>
        </w:tc>
        <w:tc>
          <w:tcPr/>
          <w:p>
            <w:pPr>
              <w:pStyle w:val="Compact"/>
            </w:pPr>
            <w:r>
              <w:t xml:space="preserve">Mature East Delhi anchor</w:t>
            </w:r>
          </w:p>
        </w:tc>
      </w:tr>
      <w:tr>
        <w:tc>
          <w:tcPr/>
          <w:p>
            <w:pPr>
              <w:pStyle w:val="Compact"/>
            </w:pPr>
            <w:r>
              <w:t xml:space="preserve">Max Super Speciality Hospital</w:t>
            </w:r>
          </w:p>
        </w:tc>
        <w:tc>
          <w:tcPr/>
          <w:p>
            <w:pPr>
              <w:pStyle w:val="Compact"/>
            </w:pPr>
            <w:r>
              <w:t xml:space="preserve">Vaishali, Ghaziabad</w:t>
            </w:r>
          </w:p>
        </w:tc>
        <w:tc>
          <w:tcPr/>
          <w:p>
            <w:pPr>
              <w:pStyle w:val="Compact"/>
              <w:jc w:val="right"/>
            </w:pPr>
            <w:r>
              <w:t xml:space="preserve">387</w:t>
            </w:r>
          </w:p>
        </w:tc>
        <w:tc>
          <w:tcPr/>
          <w:p>
            <w:pPr>
              <w:pStyle w:val="Compact"/>
            </w:pPr>
            <w:r>
              <w:t xml:space="preserve">Mature NCR satellite</w:t>
            </w:r>
          </w:p>
        </w:tc>
      </w:tr>
      <w:tr>
        <w:tc>
          <w:tcPr/>
          <w:p>
            <w:pPr>
              <w:pStyle w:val="Compact"/>
            </w:pPr>
            <w:r>
              <w:t xml:space="preserve">Max Super Speciality Hospital</w:t>
            </w:r>
          </w:p>
        </w:tc>
        <w:tc>
          <w:tcPr/>
          <w:p>
            <w:pPr>
              <w:pStyle w:val="Compact"/>
            </w:pPr>
            <w:r>
              <w:t xml:space="preserve">Dwarka, Delhi</w:t>
            </w:r>
          </w:p>
        </w:tc>
        <w:tc>
          <w:tcPr/>
          <w:p>
            <w:pPr>
              <w:pStyle w:val="Compact"/>
              <w:jc w:val="right"/>
            </w:pPr>
            <w:r>
              <w:t xml:space="preserve">303</w:t>
            </w:r>
          </w:p>
        </w:tc>
        <w:tc>
          <w:tcPr/>
          <w:p>
            <w:pPr>
              <w:pStyle w:val="Compact"/>
            </w:pPr>
            <w:r>
              <w:t xml:space="preserve">Growth asset; approved brownfield expansion</w:t>
            </w:r>
          </w:p>
        </w:tc>
      </w:tr>
      <w:tr>
        <w:tc>
          <w:tcPr/>
          <w:p>
            <w:pPr>
              <w:pStyle w:val="Compact"/>
            </w:pPr>
            <w:r>
              <w:t xml:space="preserve">Max Super Speciality Hospital</w:t>
            </w:r>
          </w:p>
        </w:tc>
        <w:tc>
          <w:tcPr/>
          <w:p>
            <w:pPr>
              <w:pStyle w:val="Compact"/>
            </w:pPr>
            <w:r>
              <w:t xml:space="preserve">Noida</w:t>
            </w:r>
          </w:p>
        </w:tc>
        <w:tc>
          <w:tcPr/>
          <w:p>
            <w:pPr>
              <w:pStyle w:val="Compact"/>
              <w:jc w:val="right"/>
            </w:pPr>
            <w:r>
              <w:t xml:space="preserve">500</w:t>
            </w:r>
          </w:p>
        </w:tc>
        <w:tc>
          <w:tcPr/>
          <w:p>
            <w:pPr>
              <w:pStyle w:val="Compact"/>
            </w:pPr>
            <w:r>
              <w:t xml:space="preserve">Mature/growth NCR satellite</w:t>
            </w:r>
          </w:p>
        </w:tc>
      </w:tr>
      <w:tr>
        <w:tc>
          <w:tcPr/>
          <w:p>
            <w:pPr>
              <w:pStyle w:val="Compact"/>
            </w:pPr>
            <w:r>
              <w:t xml:space="preserve">Max Hospital</w:t>
            </w:r>
          </w:p>
        </w:tc>
        <w:tc>
          <w:tcPr/>
          <w:p>
            <w:pPr>
              <w:pStyle w:val="Compact"/>
            </w:pPr>
            <w:r>
              <w:t xml:space="preserve">Gurugram</w:t>
            </w:r>
          </w:p>
        </w:tc>
        <w:tc>
          <w:tcPr/>
          <w:p>
            <w:pPr>
              <w:pStyle w:val="Compact"/>
              <w:jc w:val="right"/>
            </w:pPr>
            <w:r>
              <w:t xml:space="preserve">104</w:t>
            </w:r>
          </w:p>
        </w:tc>
        <w:tc>
          <w:tcPr/>
          <w:p>
            <w:pPr>
              <w:pStyle w:val="Compact"/>
            </w:pPr>
            <w:r>
              <w:t xml:space="preserve">Small current base; major upcoming capacity optionality</w:t>
            </w:r>
          </w:p>
        </w:tc>
      </w:tr>
      <w:tr>
        <w:tc>
          <w:tcPr/>
          <w:p>
            <w:pPr>
              <w:pStyle w:val="Compact"/>
            </w:pPr>
            <w:r>
              <w:t xml:space="preserve">Nanavati-Max Hospital</w:t>
            </w:r>
          </w:p>
        </w:tc>
        <w:tc>
          <w:tcPr/>
          <w:p>
            <w:pPr>
              <w:pStyle w:val="Compact"/>
            </w:pPr>
            <w:r>
              <w:t xml:space="preserve">Mumbai</w:t>
            </w:r>
          </w:p>
        </w:tc>
        <w:tc>
          <w:tcPr/>
          <w:p>
            <w:pPr>
              <w:pStyle w:val="Compact"/>
              <w:jc w:val="right"/>
            </w:pPr>
            <w:r>
              <w:t xml:space="preserve">608</w:t>
            </w:r>
          </w:p>
        </w:tc>
        <w:tc>
          <w:tcPr/>
          <w:p>
            <w:pPr>
              <w:pStyle w:val="Compact"/>
            </w:pPr>
            <w:r>
              <w:t xml:space="preserve">Strategic west India entry, international patient relevance</w:t>
            </w:r>
          </w:p>
        </w:tc>
      </w:tr>
      <w:tr>
        <w:tc>
          <w:tcPr/>
          <w:p>
            <w:pPr>
              <w:pStyle w:val="Compact"/>
            </w:pPr>
            <w:r>
              <w:t xml:space="preserve">Max Super Speciality Hospital</w:t>
            </w:r>
          </w:p>
        </w:tc>
        <w:tc>
          <w:tcPr/>
          <w:p>
            <w:pPr>
              <w:pStyle w:val="Compact"/>
            </w:pPr>
            <w:r>
              <w:t xml:space="preserve">Lucknow</w:t>
            </w:r>
          </w:p>
        </w:tc>
        <w:tc>
          <w:tcPr/>
          <w:p>
            <w:pPr>
              <w:pStyle w:val="Compact"/>
              <w:jc w:val="right"/>
            </w:pPr>
            <w:r>
              <w:t xml:space="preserve">426</w:t>
            </w:r>
          </w:p>
        </w:tc>
        <w:tc>
          <w:tcPr/>
          <w:p>
            <w:pPr>
              <w:pStyle w:val="Compact"/>
            </w:pPr>
            <w:r>
              <w:t xml:space="preserve">Newer UP platform; second Lucknow project approved</w:t>
            </w:r>
          </w:p>
        </w:tc>
      </w:tr>
      <w:tr>
        <w:tc>
          <w:tcPr/>
          <w:p>
            <w:pPr>
              <w:pStyle w:val="Compact"/>
            </w:pPr>
            <w:r>
              <w:t xml:space="preserve">Max Super Speciality Hospital</w:t>
            </w:r>
          </w:p>
        </w:tc>
        <w:tc>
          <w:tcPr/>
          <w:p>
            <w:pPr>
              <w:pStyle w:val="Compact"/>
            </w:pPr>
            <w:r>
              <w:t xml:space="preserve">Mohali</w:t>
            </w:r>
          </w:p>
        </w:tc>
        <w:tc>
          <w:tcPr/>
          <w:p>
            <w:pPr>
              <w:pStyle w:val="Compact"/>
              <w:jc w:val="right"/>
            </w:pPr>
            <w:r>
              <w:t xml:space="preserve">380</w:t>
            </w:r>
          </w:p>
        </w:tc>
        <w:tc>
          <w:tcPr/>
          <w:p>
            <w:pPr>
              <w:pStyle w:val="Compact"/>
            </w:pPr>
            <w:r>
              <w:t xml:space="preserve">PPP/partnered, now materially expanded</w:t>
            </w:r>
          </w:p>
        </w:tc>
      </w:tr>
      <w:tr>
        <w:tc>
          <w:tcPr/>
          <w:p>
            <w:pPr>
              <w:pStyle w:val="Compact"/>
            </w:pPr>
            <w:r>
              <w:t xml:space="preserve">Max Super Speciality Hospital</w:t>
            </w:r>
          </w:p>
        </w:tc>
        <w:tc>
          <w:tcPr/>
          <w:p>
            <w:pPr>
              <w:pStyle w:val="Compact"/>
            </w:pPr>
            <w:r>
              <w:t xml:space="preserve">Dehradun</w:t>
            </w:r>
          </w:p>
        </w:tc>
        <w:tc>
          <w:tcPr/>
          <w:p>
            <w:pPr>
              <w:pStyle w:val="Compact"/>
              <w:jc w:val="right"/>
            </w:pPr>
            <w:r>
              <w:t xml:space="preserve">220</w:t>
            </w:r>
          </w:p>
        </w:tc>
        <w:tc>
          <w:tcPr/>
          <w:p>
            <w:pPr>
              <w:pStyle w:val="Compact"/>
            </w:pPr>
            <w:r>
              <w:t xml:space="preserve">Mature secondary platform; adjacent BTS oncology project</w:t>
            </w:r>
          </w:p>
        </w:tc>
      </w:tr>
      <w:tr>
        <w:tc>
          <w:tcPr/>
          <w:p>
            <w:pPr>
              <w:pStyle w:val="Compact"/>
            </w:pPr>
            <w:r>
              <w:t xml:space="preserve">Max Super Speciality Hospital</w:t>
            </w:r>
          </w:p>
        </w:tc>
        <w:tc>
          <w:tcPr/>
          <w:p>
            <w:pPr>
              <w:pStyle w:val="Compact"/>
            </w:pPr>
            <w:r>
              <w:t xml:space="preserve">Nagpur</w:t>
            </w:r>
          </w:p>
        </w:tc>
        <w:tc>
          <w:tcPr/>
          <w:p>
            <w:pPr>
              <w:pStyle w:val="Compact"/>
              <w:jc w:val="right"/>
            </w:pPr>
            <w:r>
              <w:t xml:space="preserve">200</w:t>
            </w:r>
          </w:p>
        </w:tc>
        <w:tc>
          <w:tcPr/>
          <w:p>
            <w:pPr>
              <w:pStyle w:val="Compact"/>
            </w:pPr>
            <w:r>
              <w:t xml:space="preserve">Recent acquisition / turnaround</w:t>
            </w:r>
          </w:p>
        </w:tc>
      </w:tr>
      <w:tr>
        <w:tc>
          <w:tcPr/>
          <w:p>
            <w:pPr>
              <w:pStyle w:val="Compact"/>
            </w:pPr>
            <w:r>
              <w:t xml:space="preserve">Max Super Speciality Hospital</w:t>
            </w:r>
          </w:p>
        </w:tc>
        <w:tc>
          <w:tcPr/>
          <w:p>
            <w:pPr>
              <w:pStyle w:val="Compact"/>
            </w:pPr>
            <w:r>
              <w:t xml:space="preserve">Bathinda</w:t>
            </w:r>
          </w:p>
        </w:tc>
        <w:tc>
          <w:tcPr/>
          <w:p>
            <w:pPr>
              <w:pStyle w:val="Compact"/>
              <w:jc w:val="right"/>
            </w:pPr>
            <w:r>
              <w:t xml:space="preserve">200</w:t>
            </w:r>
          </w:p>
        </w:tc>
        <w:tc>
          <w:tcPr/>
          <w:p>
            <w:pPr>
              <w:pStyle w:val="Compact"/>
            </w:pPr>
            <w:r>
              <w:t xml:space="preserve">PPP/partnered and lower-return</w:t>
            </w:r>
          </w:p>
        </w:tc>
      </w:tr>
      <w:tr>
        <w:tc>
          <w:tcPr/>
          <w:p>
            <w:pPr>
              <w:pStyle w:val="Compact"/>
            </w:pPr>
            <w:r>
              <w:t xml:space="preserve">Kalinga Hospital</w:t>
            </w:r>
          </w:p>
        </w:tc>
        <w:tc>
          <w:tcPr/>
          <w:p>
            <w:pPr>
              <w:pStyle w:val="Compact"/>
            </w:pPr>
            <w:r>
              <w:t xml:space="preserve">Bhubaneswar</w:t>
            </w:r>
          </w:p>
        </w:tc>
        <w:tc>
          <w:tcPr/>
          <w:p>
            <w:pPr>
              <w:pStyle w:val="Compact"/>
              <w:jc w:val="right"/>
            </w:pPr>
            <w:r>
              <w:t xml:space="preserve">250</w:t>
            </w:r>
          </w:p>
        </w:tc>
        <w:tc>
          <w:tcPr/>
          <w:p>
            <w:pPr>
              <w:pStyle w:val="Compact"/>
            </w:pPr>
            <w:r>
              <w:t xml:space="preserve">Acquired May-26; new geography</w:t>
            </w:r>
          </w:p>
        </w:tc>
      </w:tr>
    </w:tbl>
    <w:p>
      <w:pPr>
        <w:pStyle w:val="BodyText"/>
      </w:pPr>
      <w:r>
        <w:rPr>
          <w:b/>
          <w:bCs/>
        </w:rPr>
        <w:t xml:space="preserve">Source note:</w:t>
      </w:r>
      <w:r>
        <w:t xml:space="preserve"> </w:t>
      </w:r>
      <w:r>
        <w:t xml:space="preserve">installed beds from the company’s investor map; Kalinga bed count from the FY26 executive summary.</w:t>
      </w:r>
      <w:r>
        <w:t xml:space="preserve"> </w:t>
      </w:r>
      <w:hyperlink r:id="rId23">
        <w:r>
          <w:rPr>
            <w:rStyle w:val="Hyperlink"/>
          </w:rPr>
          <w:t xml:space="preserve">[29]</w:t>
        </w:r>
      </w:hyperlink>
    </w:p>
    <w:p>
      <w:pPr>
        <w:pStyle w:val="BodyText"/>
      </w:pPr>
      <w:r>
        <w:t xml:space="preserve">The strategic ranking is straightforward. The</w:t>
      </w:r>
      <w:r>
        <w:t xml:space="preserve"> </w:t>
      </w:r>
      <w:r>
        <w:rPr>
          <w:b/>
          <w:bCs/>
        </w:rPr>
        <w:t xml:space="preserve">Delhi NCR cluster</w:t>
      </w:r>
      <w:r>
        <w:t xml:space="preserve"> </w:t>
      </w:r>
      <w:r>
        <w:t xml:space="preserve">is disproportionately important because it combines bed depth, occupancy and ARPOB. The company’s Q4 regional revenue disclosure shows Delhi at</w:t>
      </w:r>
      <w:r>
        <w:t xml:space="preserve"> </w:t>
      </w:r>
      <w:r>
        <w:rPr>
          <w:b/>
          <w:bCs/>
        </w:rPr>
        <w:t xml:space="preserve">2,411 operational beds</w:t>
      </w:r>
      <w:r>
        <w:t xml:space="preserve">,</w:t>
      </w:r>
      <w:r>
        <w:t xml:space="preserve"> </w:t>
      </w:r>
      <w:r>
        <w:rPr>
          <w:b/>
          <w:bCs/>
        </w:rPr>
        <w:t xml:space="preserve">80% occupancy</w:t>
      </w:r>
      <w:r>
        <w:t xml:space="preserve">, and ₹1,378 crore of Q4 revenue — by far the largest regional contributor. Uttar Pradesh became more significant after the Lucknow/Jaypee additions, with</w:t>
      </w:r>
      <w:r>
        <w:t xml:space="preserve"> </w:t>
      </w:r>
      <w:r>
        <w:rPr>
          <w:b/>
          <w:bCs/>
        </w:rPr>
        <w:t xml:space="preserve">1,177 operational beds</w:t>
      </w:r>
      <w:r>
        <w:t xml:space="preserve"> </w:t>
      </w:r>
      <w:r>
        <w:t xml:space="preserve">and ₹539 crore of Q4 revenue, but the NCR cluster still dominates group economics. Maharashtra matters strategically because of Nanavati, but FY26 Maharashtra occupancy was lower at</w:t>
      </w:r>
      <w:r>
        <w:t xml:space="preserve"> </w:t>
      </w:r>
      <w:r>
        <w:rPr>
          <w:b/>
          <w:bCs/>
        </w:rPr>
        <w:t xml:space="preserve">67%</w:t>
      </w:r>
      <w:r>
        <w:t xml:space="preserve">, which means the west India platform is still earning into value rather than already throwing it off at NCR-like rates.</w:t>
      </w:r>
      <w:r>
        <w:t xml:space="preserve"> </w:t>
      </w:r>
      <w:hyperlink r:id="rId22">
        <w:r>
          <w:rPr>
            <w:rStyle w:val="Hyperlink"/>
          </w:rPr>
          <w:t xml:space="preserve">[27]</w:t>
        </w:r>
      </w:hyperlink>
    </w:p>
    <w:p>
      <w:pPr>
        <w:pStyle w:val="BodyText"/>
      </w:pPr>
      <w:r>
        <w:t xml:space="preserve">The expansion pipeline is now large enough that it must be analysed like a portfolio, not a list. Already completed and ramping: the</w:t>
      </w:r>
      <w:r>
        <w:t xml:space="preserve"> </w:t>
      </w:r>
      <w:r>
        <w:rPr>
          <w:b/>
          <w:bCs/>
        </w:rPr>
        <w:t xml:space="preserve">400-bed Smart Saket tower</w:t>
      </w:r>
      <w:r>
        <w:t xml:space="preserve">, of which</w:t>
      </w:r>
      <w:r>
        <w:t xml:space="preserve"> </w:t>
      </w:r>
      <w:r>
        <w:rPr>
          <w:b/>
          <w:bCs/>
        </w:rPr>
        <w:t xml:space="preserve">156 beds</w:t>
      </w:r>
      <w:r>
        <w:t xml:space="preserve"> </w:t>
      </w:r>
      <w:r>
        <w:t xml:space="preserve">had been handed over by May-26;</w:t>
      </w:r>
      <w:r>
        <w:t xml:space="preserve"> </w:t>
      </w:r>
      <w:r>
        <w:rPr>
          <w:b/>
          <w:bCs/>
        </w:rPr>
        <w:t xml:space="preserve">Nanavati Tower 2 phase 1</w:t>
      </w:r>
      <w:r>
        <w:t xml:space="preserve">, where</w:t>
      </w:r>
      <w:r>
        <w:t xml:space="preserve"> </w:t>
      </w:r>
      <w:r>
        <w:rPr>
          <w:b/>
          <w:bCs/>
        </w:rPr>
        <w:t xml:space="preserve">116 of 280 beds</w:t>
      </w:r>
      <w:r>
        <w:t xml:space="preserve"> </w:t>
      </w:r>
      <w:r>
        <w:t xml:space="preserve">had been operationalised; and the</w:t>
      </w:r>
      <w:r>
        <w:t xml:space="preserve"> </w:t>
      </w:r>
      <w:r>
        <w:rPr>
          <w:b/>
          <w:bCs/>
        </w:rPr>
        <w:t xml:space="preserve">160-bed Mohali brownfield tower</w:t>
      </w:r>
      <w:r>
        <w:t xml:space="preserve">, fully commissioned and operationalised. Approved or announced next:</w:t>
      </w:r>
      <w:r>
        <w:t xml:space="preserve"> </w:t>
      </w:r>
      <w:r>
        <w:rPr>
          <w:b/>
          <w:bCs/>
        </w:rPr>
        <w:t xml:space="preserve">260 beds at Dwarka</w:t>
      </w:r>
      <w:r>
        <w:t xml:space="preserve">, a</w:t>
      </w:r>
      <w:r>
        <w:t xml:space="preserve"> </w:t>
      </w:r>
      <w:r>
        <w:rPr>
          <w:b/>
          <w:bCs/>
        </w:rPr>
        <w:t xml:space="preserve">130-bed built-to-suit Dehradun oncology hospital</w:t>
      </w:r>
      <w:r>
        <w:t xml:space="preserve">, a</w:t>
      </w:r>
      <w:r>
        <w:t xml:space="preserve"> </w:t>
      </w:r>
      <w:r>
        <w:rPr>
          <w:b/>
          <w:bCs/>
        </w:rPr>
        <w:t xml:space="preserve">712-bed greenfield at Shaheed Path, Lucknow</w:t>
      </w:r>
      <w:r>
        <w:t xml:space="preserve"> </w:t>
      </w:r>
      <w:r>
        <w:t xml:space="preserve">with board-approved investment of about</w:t>
      </w:r>
      <w:r>
        <w:t xml:space="preserve"> </w:t>
      </w:r>
      <w:r>
        <w:rPr>
          <w:b/>
          <w:bCs/>
        </w:rPr>
        <w:t xml:space="preserve">₹1,400 crore</w:t>
      </w:r>
      <w:r>
        <w:t xml:space="preserve">, and the staged acquisition of Yerawada Properties to develop a</w:t>
      </w:r>
      <w:r>
        <w:t xml:space="preserve"> </w:t>
      </w:r>
      <w:r>
        <w:rPr>
          <w:b/>
          <w:bCs/>
        </w:rPr>
        <w:t xml:space="preserve">~450-bed Pune hospital</w:t>
      </w:r>
      <w:r>
        <w:t xml:space="preserve"> </w:t>
      </w:r>
      <w:r>
        <w:t xml:space="preserve">expected to commission in 2030. Max also says another ~10% capacity addition was expected from Gurugram later in 2026.</w:t>
      </w:r>
      <w:r>
        <w:t xml:space="preserve"> </w:t>
      </w:r>
      <w:hyperlink r:id="rId22">
        <w:r>
          <w:rPr>
            <w:rStyle w:val="Hyperlink"/>
          </w:rPr>
          <w:t xml:space="preserve">[30]</w:t>
        </w:r>
      </w:hyperlink>
    </w:p>
    <w:p>
      <w:pPr>
        <w:pStyle w:val="BodyText"/>
      </w:pPr>
      <w:r>
        <w:t xml:space="preserve">This is the key place where I differ from the market. Management’s language suggests an eventual near-doubling of bed capacity over four to five years. I would underwrite</w:t>
      </w:r>
      <w:r>
        <w:t xml:space="preserve"> </w:t>
      </w:r>
      <w:r>
        <w:rPr>
          <w:b/>
          <w:bCs/>
        </w:rPr>
        <w:t xml:space="preserve">less</w:t>
      </w:r>
      <w:r>
        <w:t xml:space="preserve">. My base case assumes that Max reaches roughly</w:t>
      </w:r>
      <w:r>
        <w:t xml:space="preserve"> </w:t>
      </w:r>
      <w:r>
        <w:rPr>
          <w:b/>
          <w:bCs/>
        </w:rPr>
        <w:t xml:space="preserve">7,300–7,500 operational beds by FY31</w:t>
      </w:r>
      <w:r>
        <w:t xml:space="preserve">, not the kind of near-doubling that a literal reading of the slide might imply. The reasons are practical: doctors and nurses must be recruited before revenue ramps; brownfields are easier than greenfields but still need theatre, ICU and specialty commissioning; and new-city absorptive capacity is slower than slide timelines suggest. The FY26 deck itself acknowledged that manpower was hired in advance for training, dry runs and smooth takeover of new brownfield beds.</w:t>
      </w:r>
      <w:r>
        <w:t xml:space="preserve"> </w:t>
      </w:r>
      <w:hyperlink r:id="rId23">
        <w:r>
          <w:rPr>
            <w:rStyle w:val="Hyperlink"/>
          </w:rPr>
          <w:t xml:space="preserve">[31]</w:t>
        </w:r>
      </w:hyperlink>
    </w:p>
    <w:p>
      <w:pPr>
        <w:pStyle w:val="BodyText"/>
      </w:pPr>
      <w:r>
        <w:t xml:space="preserve">Max’s acquisition record is mixed but mostly value-creating so far. The October 2024 CARE note said Max had acquired</w:t>
      </w:r>
      <w:r>
        <w:t xml:space="preserve"> </w:t>
      </w:r>
      <w:r>
        <w:rPr>
          <w:b/>
          <w:bCs/>
        </w:rPr>
        <w:t xml:space="preserve">Lucknow (550 beds)</w:t>
      </w:r>
      <w:r>
        <w:t xml:space="preserve"> </w:t>
      </w:r>
      <w:r>
        <w:t xml:space="preserve">and</w:t>
      </w:r>
      <w:r>
        <w:t xml:space="preserve"> </w:t>
      </w:r>
      <w:r>
        <w:rPr>
          <w:b/>
          <w:bCs/>
        </w:rPr>
        <w:t xml:space="preserve">Nagpur (200 beds)</w:t>
      </w:r>
      <w:r>
        <w:t xml:space="preserve"> </w:t>
      </w:r>
      <w:r>
        <w:t xml:space="preserve">for an aggregate</w:t>
      </w:r>
      <w:r>
        <w:t xml:space="preserve"> </w:t>
      </w:r>
      <w:r>
        <w:rPr>
          <w:b/>
          <w:bCs/>
        </w:rPr>
        <w:t xml:space="preserve">₹1,405 crore</w:t>
      </w:r>
      <w:r>
        <w:t xml:space="preserve">, funded by internal accruals and about</w:t>
      </w:r>
      <w:r>
        <w:t xml:space="preserve"> </w:t>
      </w:r>
      <w:r>
        <w:rPr>
          <w:b/>
          <w:bCs/>
        </w:rPr>
        <w:t xml:space="preserve">₹600 crore</w:t>
      </w:r>
      <w:r>
        <w:t xml:space="preserve"> </w:t>
      </w:r>
      <w:r>
        <w:t xml:space="preserve">of long-term debt. The same note referred to the announced acquisition of Jaypee Healthcare at an EV of</w:t>
      </w:r>
      <w:r>
        <w:t xml:space="preserve"> </w:t>
      </w:r>
      <w:r>
        <w:rPr>
          <w:b/>
          <w:bCs/>
        </w:rPr>
        <w:t xml:space="preserve">₹1,660 crore</w:t>
      </w:r>
      <w:r>
        <w:t xml:space="preserve">. In FY26, the company then consummated the purchase of</w:t>
      </w:r>
      <w:r>
        <w:t xml:space="preserve"> </w:t>
      </w:r>
      <w:r>
        <w:rPr>
          <w:b/>
          <w:bCs/>
        </w:rPr>
        <w:t xml:space="preserve">58.28% of Kalinga Hospital</w:t>
      </w:r>
      <w:r>
        <w:t xml:space="preserve"> </w:t>
      </w:r>
      <w:r>
        <w:t xml:space="preserve">on 18 May 2026; Kalinga operates a</w:t>
      </w:r>
      <w:r>
        <w:t xml:space="preserve"> </w:t>
      </w:r>
      <w:r>
        <w:rPr>
          <w:b/>
          <w:bCs/>
        </w:rPr>
        <w:t xml:space="preserve">250-bed hospital on a 10-acre parcel</w:t>
      </w:r>
      <w:r>
        <w:t xml:space="preserve"> </w:t>
      </w:r>
      <w:r>
        <w:t xml:space="preserve">in Bhubaneswar. The pattern is clear: Max is using its balance sheet and network reputation to buy or lease beds that would be hard to build quickly in its core markets.</w:t>
      </w:r>
      <w:r>
        <w:t xml:space="preserve"> </w:t>
      </w:r>
      <w:hyperlink r:id="rId34">
        <w:r>
          <w:rPr>
            <w:rStyle w:val="Hyperlink"/>
          </w:rPr>
          <w:t xml:space="preserve">[32]</w:t>
        </w:r>
      </w:hyperlink>
    </w:p>
    <w:p>
      <w:pPr>
        <w:pStyle w:val="BodyText"/>
      </w:pPr>
      <w:r>
        <w:t xml:space="preserve">Capital allocation has been active but not reckless in the reviewed record. FY26 network cash from operations was</w:t>
      </w:r>
      <w:r>
        <w:t xml:space="preserve"> </w:t>
      </w:r>
      <w:r>
        <w:rPr>
          <w:b/>
          <w:bCs/>
        </w:rPr>
        <w:t xml:space="preserve">₹1,541 crore</w:t>
      </w:r>
      <w:r>
        <w:t xml:space="preserve">; the company disclosed deployment of</w:t>
      </w:r>
      <w:r>
        <w:t xml:space="preserve"> </w:t>
      </w:r>
      <w:r>
        <w:rPr>
          <w:b/>
          <w:bCs/>
        </w:rPr>
        <w:t xml:space="preserve">₹1,627 crore</w:t>
      </w:r>
      <w:r>
        <w:t xml:space="preserve"> </w:t>
      </w:r>
      <w:r>
        <w:t xml:space="preserve">toward ongoing expansion and upgrades,</w:t>
      </w:r>
      <w:r>
        <w:t xml:space="preserve"> </w:t>
      </w:r>
      <w:r>
        <w:rPr>
          <w:b/>
          <w:bCs/>
        </w:rPr>
        <w:t xml:space="preserve">₹131 crore</w:t>
      </w:r>
      <w:r>
        <w:t xml:space="preserve"> </w:t>
      </w:r>
      <w:r>
        <w:t xml:space="preserve">toward land at Vaishali and</w:t>
      </w:r>
      <w:r>
        <w:t xml:space="preserve"> </w:t>
      </w:r>
      <w:r>
        <w:rPr>
          <w:b/>
          <w:bCs/>
        </w:rPr>
        <w:t xml:space="preserve">₹146 crore</w:t>
      </w:r>
      <w:r>
        <w:t xml:space="preserve"> </w:t>
      </w:r>
      <w:r>
        <w:t xml:space="preserve">as dividend. Net debt at the network level ended FY26 at</w:t>
      </w:r>
      <w:r>
        <w:t xml:space="preserve"> </w:t>
      </w:r>
      <w:r>
        <w:rPr>
          <w:b/>
          <w:bCs/>
        </w:rPr>
        <w:t xml:space="preserve">₹1,908 crore</w:t>
      </w:r>
      <w:r>
        <w:t xml:space="preserve">, while the audited consolidated financial statements showed</w:t>
      </w:r>
      <w:r>
        <w:t xml:space="preserve"> </w:t>
      </w:r>
      <w:r>
        <w:rPr>
          <w:b/>
          <w:bCs/>
        </w:rPr>
        <w:t xml:space="preserve">₹2,907 crore</w:t>
      </w:r>
      <w:r>
        <w:t xml:space="preserve"> </w:t>
      </w:r>
      <w:r>
        <w:t xml:space="preserve">of borrowings and</w:t>
      </w:r>
      <w:r>
        <w:t xml:space="preserve"> </w:t>
      </w:r>
      <w:r>
        <w:rPr>
          <w:b/>
          <w:bCs/>
        </w:rPr>
        <w:t xml:space="preserve">₹572 crore</w:t>
      </w:r>
      <w:r>
        <w:t xml:space="preserve"> </w:t>
      </w:r>
      <w:r>
        <w:t xml:space="preserve">of lease liabilities. That is not a stressed balance sheet, but neither is it a free option on endless M&amp;A. Each incremental project now matters more than it did when the company was smaller.</w:t>
      </w:r>
      <w:r>
        <w:t xml:space="preserve"> </w:t>
      </w:r>
      <w:hyperlink r:id="rId22">
        <w:r>
          <w:rPr>
            <w:rStyle w:val="Hyperlink"/>
          </w:rPr>
          <w:t xml:space="preserve">[33]</w:t>
        </w:r>
      </w:hyperlink>
    </w:p>
    <w:p>
      <w:pPr>
        <w:pStyle w:val="BodyText"/>
      </w:pPr>
      <w:r>
        <w:t xml:space="preserve">On management and governance, the evidence is mostly favourable. The board page shows eight directors, including Abhay Soi as Chairman and Managing Director and five independent directors. The June 2026 shareholding pattern shows no promoter pledge or encumbrance. The FY26 consolidated financial statements were audited by</w:t>
      </w:r>
      <w:r>
        <w:t xml:space="preserve"> </w:t>
      </w:r>
      <w:r>
        <w:rPr>
          <w:b/>
          <w:bCs/>
        </w:rPr>
        <w:t xml:space="preserve">S.R. Batliboi &amp; Co. LLP</w:t>
      </w:r>
      <w:r>
        <w:t xml:space="preserve">, and the excerpt reviewed carries an unqualified audit opinion. I do not see evidence in the reviewed materials of auditor churn, pledge stress, or a currently live governance event severe enough to impair the business case.</w:t>
      </w:r>
      <w:r>
        <w:t xml:space="preserve"> </w:t>
      </w:r>
      <w:hyperlink r:id="rId35">
        <w:r>
          <w:rPr>
            <w:rStyle w:val="Hyperlink"/>
          </w:rPr>
          <w:t xml:space="preserve">[34]</w:t>
        </w:r>
      </w:hyperlink>
    </w:p>
    <w:p>
      <w:pPr>
        <w:pStyle w:val="BodyText"/>
      </w:pPr>
      <w:r>
        <w:t xml:space="preserve">The controversy review is more nuanced. The most material disclosed items are</w:t>
      </w:r>
      <w:r>
        <w:t xml:space="preserve"> </w:t>
      </w:r>
      <w:r>
        <w:rPr>
          <w:b/>
          <w:bCs/>
        </w:rPr>
        <w:t xml:space="preserve">not</w:t>
      </w:r>
      <w:r>
        <w:t xml:space="preserve"> </w:t>
      </w:r>
      <w:r>
        <w:t xml:space="preserve">thesis-breaking, but they are real. The audited statements disclose contingent liabilities of</w:t>
      </w:r>
      <w:r>
        <w:t xml:space="preserve"> </w:t>
      </w:r>
      <w:r>
        <w:rPr>
          <w:b/>
          <w:bCs/>
        </w:rPr>
        <w:t xml:space="preserve">₹308.3 crore</w:t>
      </w:r>
      <w:r>
        <w:t xml:space="preserve"> </w:t>
      </w:r>
      <w:r>
        <w:t xml:space="preserve">for civil cases,</w:t>
      </w:r>
      <w:r>
        <w:t xml:space="preserve"> </w:t>
      </w:r>
      <w:r>
        <w:rPr>
          <w:b/>
          <w:bCs/>
        </w:rPr>
        <w:t xml:space="preserve">₹38.1 crore</w:t>
      </w:r>
      <w:r>
        <w:t xml:space="preserve"> </w:t>
      </w:r>
      <w:r>
        <w:t xml:space="preserve">for GST/service tax/VAT,</w:t>
      </w:r>
      <w:r>
        <w:t xml:space="preserve"> </w:t>
      </w:r>
      <w:r>
        <w:rPr>
          <w:b/>
          <w:bCs/>
        </w:rPr>
        <w:t xml:space="preserve">₹13.4 crore</w:t>
      </w:r>
      <w:r>
        <w:t xml:space="preserve"> </w:t>
      </w:r>
      <w:r>
        <w:t xml:space="preserve">for income tax and</w:t>
      </w:r>
      <w:r>
        <w:t xml:space="preserve"> </w:t>
      </w:r>
      <w:r>
        <w:rPr>
          <w:b/>
          <w:bCs/>
        </w:rPr>
        <w:t xml:space="preserve">₹43.8 crore</w:t>
      </w:r>
      <w:r>
        <w:t xml:space="preserve"> </w:t>
      </w:r>
      <w:r>
        <w:t xml:space="preserve">for other matters. Among the more specific items are a pending criminal complaint involving</w:t>
      </w:r>
      <w:r>
        <w:t xml:space="preserve"> </w:t>
      </w:r>
      <w:r>
        <w:rPr>
          <w:b/>
          <w:bCs/>
        </w:rPr>
        <w:t xml:space="preserve">Dr. Balabhai Nanavati Trust</w:t>
      </w:r>
      <w:r>
        <w:t xml:space="preserve"> </w:t>
      </w:r>
      <w:r>
        <w:t xml:space="preserve">under the Maharashtra Public Trust Act, a</w:t>
      </w:r>
      <w:r>
        <w:t xml:space="preserve"> </w:t>
      </w:r>
      <w:r>
        <w:rPr>
          <w:b/>
          <w:bCs/>
        </w:rPr>
        <w:t xml:space="preserve">Ghaziabad Development Authority</w:t>
      </w:r>
      <w:r>
        <w:t xml:space="preserve"> </w:t>
      </w:r>
      <w:r>
        <w:t xml:space="preserve">infrastructure surcharge demand on the Vaishali plot, and a</w:t>
      </w:r>
      <w:r>
        <w:t xml:space="preserve"> </w:t>
      </w:r>
      <w:r>
        <w:rPr>
          <w:b/>
          <w:bCs/>
        </w:rPr>
        <w:t xml:space="preserve">YEIDA-related</w:t>
      </w:r>
      <w:r>
        <w:t xml:space="preserve"> </w:t>
      </w:r>
      <w:r>
        <w:t xml:space="preserve">issue where registration of a change-in-shareholding deed could entail</w:t>
      </w:r>
      <w:r>
        <w:t xml:space="preserve"> </w:t>
      </w:r>
      <w:r>
        <w:rPr>
          <w:b/>
          <w:bCs/>
        </w:rPr>
        <w:t xml:space="preserve">₹42.08 crore</w:t>
      </w:r>
      <w:r>
        <w:t xml:space="preserve"> </w:t>
      </w:r>
      <w:r>
        <w:t xml:space="preserve">of stamp duty/registration charges that the company says are not payable. These are manageable in isolation, but they reinforce that Max’s asset and contracting structure is more complex than a clean owned-hospital roll-up.</w:t>
      </w:r>
      <w:r>
        <w:t xml:space="preserve"> </w:t>
      </w:r>
      <w:hyperlink r:id="rId36">
        <w:r>
          <w:rPr>
            <w:rStyle w:val="Hyperlink"/>
          </w:rPr>
          <w:t xml:space="preserve">[35]</w:t>
        </w:r>
      </w:hyperlink>
    </w:p>
    <w:p>
      <w:pPr>
        <w:pStyle w:val="BodyText"/>
      </w:pPr>
      <w:r>
        <w:t xml:space="preserve">The sharper near-term “stock debate” issues are mostly operating and valuation related. First, FY26/Q4 oncology mix was affected by the discontinuation of some high-value patented chemotherapy drugs for institutional patients. Second, the company booked two non-recurring FY26 exceptional items — the</w:t>
      </w:r>
      <w:r>
        <w:t xml:space="preserve"> </w:t>
      </w:r>
      <w:r>
        <w:rPr>
          <w:b/>
          <w:bCs/>
        </w:rPr>
        <w:t xml:space="preserve">Code on Wages, 2019</w:t>
      </w:r>
      <w:r>
        <w:t xml:space="preserve"> </w:t>
      </w:r>
      <w:r>
        <w:t xml:space="preserve">impact and</w:t>
      </w:r>
      <w:r>
        <w:t xml:space="preserve"> </w:t>
      </w:r>
      <w:r>
        <w:rPr>
          <w:b/>
          <w:bCs/>
        </w:rPr>
        <w:t xml:space="preserve">stamp duty provision on the CRL-JHL amalgamation</w:t>
      </w:r>
      <w:r>
        <w:t xml:space="preserve"> </w:t>
      </w:r>
      <w:r>
        <w:t xml:space="preserve">— while also benefiting from a one-time</w:t>
      </w:r>
      <w:r>
        <w:t xml:space="preserve"> </w:t>
      </w:r>
      <w:r>
        <w:rPr>
          <w:b/>
          <w:bCs/>
        </w:rPr>
        <w:t xml:space="preserve">~₹142 crore</w:t>
      </w:r>
      <w:r>
        <w:t xml:space="preserve"> </w:t>
      </w:r>
      <w:r>
        <w:t xml:space="preserve">tax gain from the amalgamation. Third, the share price debate is really about whether the market has already discounted most of the easy brownfield wins. In short, the controversy set is more about</w:t>
      </w:r>
      <w:r>
        <w:t xml:space="preserve"> </w:t>
      </w:r>
      <w:r>
        <w:rPr>
          <w:b/>
          <w:bCs/>
        </w:rPr>
        <w:t xml:space="preserve">execution and valuation risk</w:t>
      </w:r>
      <w:r>
        <w:t xml:space="preserve"> </w:t>
      </w:r>
      <w:r>
        <w:t xml:space="preserve">than about a hidden solvency or governance bomb.</w:t>
      </w:r>
      <w:r>
        <w:t xml:space="preserve"> </w:t>
      </w:r>
      <w:hyperlink r:id="rId22">
        <w:r>
          <w:rPr>
            <w:rStyle w:val="Hyperlink"/>
          </w:rPr>
          <w:t xml:space="preserve">[36]</w:t>
        </w:r>
      </w:hyperlink>
    </w:p>
    <w:bookmarkEnd w:id="37"/>
    <w:bookmarkStart w:id="39" w:name="Xca5c09078a184914dfd2ca16660ad94f6f6bc98"/>
    <w:p>
      <w:pPr>
        <w:pStyle w:val="Heading2"/>
      </w:pPr>
      <w:r>
        <w:t xml:space="preserve">Financial analysis, forecasts and valuation</w:t>
      </w:r>
    </w:p>
    <w:p>
      <w:pPr>
        <w:pStyle w:val="FirstParagraph"/>
      </w:pPr>
      <w:r>
        <w:t xml:space="preserve">The best way to read Max’s history is to separate</w:t>
      </w:r>
      <w:r>
        <w:t xml:space="preserve"> </w:t>
      </w:r>
      <w:r>
        <w:rPr>
          <w:b/>
          <w:bCs/>
        </w:rPr>
        <w:t xml:space="preserve">repeatable operating improvement</w:t>
      </w:r>
      <w:r>
        <w:t xml:space="preserve"> </w:t>
      </w:r>
      <w:r>
        <w:t xml:space="preserve">from</w:t>
      </w:r>
      <w:r>
        <w:t xml:space="preserve"> </w:t>
      </w:r>
      <w:r>
        <w:rPr>
          <w:b/>
          <w:bCs/>
        </w:rPr>
        <w:t xml:space="preserve">non-repeatable accounting items</w:t>
      </w:r>
      <w:r>
        <w:t xml:space="preserve">. FY26 network gross revenue rose</w:t>
      </w:r>
      <w:r>
        <w:t xml:space="preserve"> </w:t>
      </w:r>
      <w:r>
        <w:rPr>
          <w:b/>
          <w:bCs/>
        </w:rPr>
        <w:t xml:space="preserve">16%</w:t>
      </w:r>
      <w:r>
        <w:t xml:space="preserve"> </w:t>
      </w:r>
      <w:r>
        <w:t xml:space="preserve">to</w:t>
      </w:r>
      <w:r>
        <w:t xml:space="preserve"> </w:t>
      </w:r>
      <w:r>
        <w:rPr>
          <w:b/>
          <w:bCs/>
        </w:rPr>
        <w:t xml:space="preserve">₹10,538 crore</w:t>
      </w:r>
      <w:r>
        <w:t xml:space="preserve">; operating EBITDA rose</w:t>
      </w:r>
      <w:r>
        <w:t xml:space="preserve"> </w:t>
      </w:r>
      <w:r>
        <w:rPr>
          <w:b/>
          <w:bCs/>
        </w:rPr>
        <w:t xml:space="preserve">14%</w:t>
      </w:r>
      <w:r>
        <w:t xml:space="preserve"> </w:t>
      </w:r>
      <w:r>
        <w:t xml:space="preserve">to</w:t>
      </w:r>
      <w:r>
        <w:t xml:space="preserve"> </w:t>
      </w:r>
      <w:r>
        <w:rPr>
          <w:b/>
          <w:bCs/>
        </w:rPr>
        <w:t xml:space="preserve">₹2,638 crore</w:t>
      </w:r>
      <w:r>
        <w:t xml:space="preserve">; operating EBITDA margin eased from</w:t>
      </w:r>
      <w:r>
        <w:t xml:space="preserve"> </w:t>
      </w:r>
      <w:r>
        <w:rPr>
          <w:b/>
          <w:bCs/>
        </w:rPr>
        <w:t xml:space="preserve">26.8% to 26.2%</w:t>
      </w:r>
      <w:r>
        <w:t xml:space="preserve">; and EBITDA per bed improved from</w:t>
      </w:r>
      <w:r>
        <w:t xml:space="preserve"> </w:t>
      </w:r>
      <w:r>
        <w:rPr>
          <w:b/>
          <w:bCs/>
        </w:rPr>
        <w:t xml:space="preserve">₹69.6 lakh to ₹71.7 lakh</w:t>
      </w:r>
      <w:r>
        <w:t xml:space="preserve">. Revenue grew because occupied bed days rose and ARPOB rose. Margin did</w:t>
      </w:r>
      <w:r>
        <w:t xml:space="preserve"> </w:t>
      </w:r>
      <w:r>
        <w:rPr>
          <w:b/>
          <w:bCs/>
        </w:rPr>
        <w:t xml:space="preserve">not</w:t>
      </w:r>
      <w:r>
        <w:t xml:space="preserve"> </w:t>
      </w:r>
      <w:r>
        <w:t xml:space="preserve">expand because direct costs increased to</w:t>
      </w:r>
      <w:r>
        <w:t xml:space="preserve"> </w:t>
      </w:r>
      <w:r>
        <w:rPr>
          <w:b/>
          <w:bCs/>
        </w:rPr>
        <w:t xml:space="preserve">41.0% of net revenue</w:t>
      </w:r>
      <w:r>
        <w:t xml:space="preserve"> </w:t>
      </w:r>
      <w:r>
        <w:t xml:space="preserve">and manpower had to be hired ahead of new bed commissioning. That is a clean sign that the operating result was real, but also that new capacity is not yet a free lunch.</w:t>
      </w:r>
      <w:r>
        <w:t xml:space="preserve"> </w:t>
      </w:r>
      <w:hyperlink r:id="rId22">
        <w:r>
          <w:rPr>
            <w:rStyle w:val="Hyperlink"/>
          </w:rPr>
          <w:t xml:space="preserve">[37]</w:t>
        </w:r>
      </w:hyperlink>
    </w:p>
    <w:p>
      <w:pPr>
        <w:pStyle w:val="BodyText"/>
      </w:pPr>
      <w:r>
        <w:t xml:space="preserve">PAT growth was flattered by tax and muddied by exceptional items. In FY26, network PAT after exceptional items was</w:t>
      </w:r>
      <w:r>
        <w:t xml:space="preserve"> </w:t>
      </w:r>
      <w:r>
        <w:rPr>
          <w:b/>
          <w:bCs/>
        </w:rPr>
        <w:t xml:space="preserve">₹1,631 crore</w:t>
      </w:r>
      <w:r>
        <w:t xml:space="preserve">, up</w:t>
      </w:r>
      <w:r>
        <w:t xml:space="preserve"> </w:t>
      </w:r>
      <w:r>
        <w:rPr>
          <w:b/>
          <w:bCs/>
        </w:rPr>
        <w:t xml:space="preserve">22%</w:t>
      </w:r>
      <w:r>
        <w:t xml:space="preserve">, but that included a one-time</w:t>
      </w:r>
      <w:r>
        <w:t xml:space="preserve"> </w:t>
      </w:r>
      <w:r>
        <w:rPr>
          <w:b/>
          <w:bCs/>
        </w:rPr>
        <w:t xml:space="preserve">~₹142 crore</w:t>
      </w:r>
      <w:r>
        <w:t xml:space="preserve"> </w:t>
      </w:r>
      <w:r>
        <w:t xml:space="preserve">tax benefit from the CRL/JHL amalgamation. Against that, FY26 also included</w:t>
      </w:r>
      <w:r>
        <w:t xml:space="preserve"> </w:t>
      </w:r>
      <w:r>
        <w:rPr>
          <w:b/>
          <w:bCs/>
        </w:rPr>
        <w:t xml:space="preserve">₹55 crore</w:t>
      </w:r>
      <w:r>
        <w:t xml:space="preserve"> </w:t>
      </w:r>
      <w:r>
        <w:t xml:space="preserve">of exceptional charges relating to the Code on Wages notification and stamp duty on the amalgamation of CRL with JHL. Normalised tax, per the management presentation, was about</w:t>
      </w:r>
      <w:r>
        <w:t xml:space="preserve"> </w:t>
      </w:r>
      <w:r>
        <w:rPr>
          <w:b/>
          <w:bCs/>
        </w:rPr>
        <w:t xml:space="preserve">20.9%</w:t>
      </w:r>
      <w:r>
        <w:t xml:space="preserve"> </w:t>
      </w:r>
      <w:r>
        <w:t xml:space="preserve">in FY26 versus</w:t>
      </w:r>
      <w:r>
        <w:t xml:space="preserve"> </w:t>
      </w:r>
      <w:r>
        <w:rPr>
          <w:b/>
          <w:bCs/>
        </w:rPr>
        <w:t xml:space="preserve">20.2%</w:t>
      </w:r>
      <w:r>
        <w:t xml:space="preserve"> </w:t>
      </w:r>
      <w:r>
        <w:t xml:space="preserve">in FY25. So the real recurring earnings trend is solid, but not quite as clean as the headline PAT number suggests.</w:t>
      </w:r>
      <w:r>
        <w:t xml:space="preserve"> </w:t>
      </w:r>
      <w:hyperlink r:id="rId22">
        <w:r>
          <w:rPr>
            <w:rStyle w:val="Hyperlink"/>
          </w:rPr>
          <w:t xml:space="preserve">[38]</w:t>
        </w:r>
      </w:hyperlink>
    </w:p>
    <w:p>
      <w:pPr>
        <w:pStyle w:val="BodyText"/>
      </w:pPr>
      <w:r>
        <w:t xml:space="preserve">Cash generation is healthy, but free cash flow is still being deferred by growth capex. The company’s FY26 executive summary says network cash from operations was</w:t>
      </w:r>
      <w:r>
        <w:t xml:space="preserve"> </w:t>
      </w:r>
      <w:r>
        <w:rPr>
          <w:b/>
          <w:bCs/>
        </w:rPr>
        <w:t xml:space="preserve">₹1,541 crore</w:t>
      </w:r>
      <w:r>
        <w:t xml:space="preserve">. The audited consolidated cash-flow statement, by inference from the visible line items, implies operating cash flow of roughly</w:t>
      </w:r>
      <w:r>
        <w:t xml:space="preserve"> </w:t>
      </w:r>
      <w:r>
        <w:rPr>
          <w:b/>
          <w:bCs/>
        </w:rPr>
        <w:t xml:space="preserve">₹1,633 crore</w:t>
      </w:r>
      <w:r>
        <w:t xml:space="preserve"> </w:t>
      </w:r>
      <w:r>
        <w:t xml:space="preserve">for FY26. At the same time, the company deployed more than</w:t>
      </w:r>
      <w:r>
        <w:t xml:space="preserve"> </w:t>
      </w:r>
      <w:r>
        <w:rPr>
          <w:b/>
          <w:bCs/>
        </w:rPr>
        <w:t xml:space="preserve">₹1,600 crore</w:t>
      </w:r>
      <w:r>
        <w:t xml:space="preserve"> </w:t>
      </w:r>
      <w:r>
        <w:t xml:space="preserve">into expansion and upgrades, and audited capital commitments at year-end still stood at</w:t>
      </w:r>
      <w:r>
        <w:t xml:space="preserve"> </w:t>
      </w:r>
      <w:r>
        <w:rPr>
          <w:b/>
          <w:bCs/>
        </w:rPr>
        <w:t xml:space="preserve">₹544 crore net of advances</w:t>
      </w:r>
      <w:r>
        <w:t xml:space="preserve">. That means Max is still in reinvestment mode, not harvest mode.</w:t>
      </w:r>
      <w:r>
        <w:t xml:space="preserve"> </w:t>
      </w:r>
      <w:hyperlink r:id="rId22">
        <w:r>
          <w:rPr>
            <w:rStyle w:val="Hyperlink"/>
          </w:rPr>
          <w:t xml:space="preserve">[39]</w:t>
        </w:r>
      </w:hyperlink>
    </w:p>
    <w:p>
      <w:pPr>
        <w:pStyle w:val="BodyText"/>
      </w:pPr>
      <w:r>
        <w:t xml:space="preserve">Working capital is not trivial. The FY26 network balance sheet shows trade receivables up to</w:t>
      </w:r>
      <w:r>
        <w:t xml:space="preserve"> </w:t>
      </w:r>
      <w:r>
        <w:rPr>
          <w:b/>
          <w:bCs/>
        </w:rPr>
        <w:t xml:space="preserve">₹1,155 crore</w:t>
      </w:r>
      <w:r>
        <w:t xml:space="preserve"> </w:t>
      </w:r>
      <w:r>
        <w:t xml:space="preserve">and management’s own footnote says DSO increased to</w:t>
      </w:r>
      <w:r>
        <w:t xml:space="preserve"> </w:t>
      </w:r>
      <w:r>
        <w:rPr>
          <w:b/>
          <w:bCs/>
        </w:rPr>
        <w:t xml:space="preserve">87 days</w:t>
      </w:r>
      <w:r>
        <w:t xml:space="preserve"> </w:t>
      </w:r>
      <w:r>
        <w:t xml:space="preserve">at Mar-26 from</w:t>
      </w:r>
      <w:r>
        <w:t xml:space="preserve"> </w:t>
      </w:r>
      <w:r>
        <w:rPr>
          <w:b/>
          <w:bCs/>
        </w:rPr>
        <w:t xml:space="preserve">72 days</w:t>
      </w:r>
      <w:r>
        <w:t xml:space="preserve"> </w:t>
      </w:r>
      <w:r>
        <w:t xml:space="preserve">a year earlier. That is one reason why earnings growth should not be naively equated to cash growth. In hospitals, higher institutional and insurance exposure can improve volumes and visibility, but it usually comes with slower collection.</w:t>
      </w:r>
      <w:r>
        <w:t xml:space="preserve"> </w:t>
      </w:r>
      <w:hyperlink r:id="rId22">
        <w:r>
          <w:rPr>
            <w:rStyle w:val="Hyperlink"/>
          </w:rPr>
          <w:t xml:space="preserve">[40]</w:t>
        </w:r>
      </w:hyperlink>
    </w:p>
    <w:p>
      <w:pPr>
        <w:pStyle w:val="BodyText"/>
      </w:pPr>
      <w:r>
        <w:t xml:space="preserve">My independent base-case forecast is below. It is deliberately below the most optimistic reading of management’s capacity statements.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 crore except beds / ARPOB / EPS</w:t>
            </w:r>
          </w:p>
        </w:tc>
        <w:tc>
          <w:tcPr/>
          <w:p>
            <w:pPr>
              <w:pStyle w:val="Compact"/>
              <w:jc w:val="right"/>
            </w:pPr>
            <w:r>
              <w:t xml:space="preserve">FY26A</w:t>
            </w:r>
          </w:p>
        </w:tc>
        <w:tc>
          <w:tcPr/>
          <w:p>
            <w:pPr>
              <w:pStyle w:val="Compact"/>
              <w:jc w:val="right"/>
            </w:pPr>
            <w:r>
              <w:t xml:space="preserve">FY27E</w:t>
            </w:r>
          </w:p>
        </w:tc>
        <w:tc>
          <w:tcPr/>
          <w:p>
            <w:pPr>
              <w:pStyle w:val="Compact"/>
              <w:jc w:val="right"/>
            </w:pPr>
            <w:r>
              <w:t xml:space="preserve">FY28E</w:t>
            </w:r>
          </w:p>
        </w:tc>
        <w:tc>
          <w:tcPr/>
          <w:p>
            <w:pPr>
              <w:pStyle w:val="Compact"/>
              <w:jc w:val="right"/>
            </w:pPr>
            <w:r>
              <w:t xml:space="preserve">FY29E</w:t>
            </w:r>
          </w:p>
        </w:tc>
        <w:tc>
          <w:tcPr/>
          <w:p>
            <w:pPr>
              <w:pStyle w:val="Compact"/>
              <w:jc w:val="right"/>
            </w:pPr>
            <w:r>
              <w:t xml:space="preserve">FY30E</w:t>
            </w:r>
          </w:p>
        </w:tc>
        <w:tc>
          <w:tcPr/>
          <w:p>
            <w:pPr>
              <w:pStyle w:val="Compact"/>
              <w:jc w:val="right"/>
            </w:pPr>
            <w:r>
              <w:t xml:space="preserve">FY31E</w:t>
            </w:r>
          </w:p>
        </w:tc>
      </w:tr>
      <w:tr>
        <w:tc>
          <w:tcPr/>
          <w:p>
            <w:pPr>
              <w:pStyle w:val="Compact"/>
            </w:pPr>
            <w:r>
              <w:t xml:space="preserve">Operational beds at year-end</w:t>
            </w:r>
          </w:p>
        </w:tc>
        <w:tc>
          <w:tcPr/>
          <w:p>
            <w:pPr>
              <w:pStyle w:val="Compact"/>
              <w:jc w:val="right"/>
            </w:pPr>
            <w:r>
              <w:t xml:space="preserve">4,966</w:t>
            </w:r>
          </w:p>
        </w:tc>
        <w:tc>
          <w:tcPr/>
          <w:p>
            <w:pPr>
              <w:pStyle w:val="Compact"/>
              <w:jc w:val="right"/>
            </w:pPr>
            <w:r>
              <w:t xml:space="preserve">5,450</w:t>
            </w:r>
          </w:p>
        </w:tc>
        <w:tc>
          <w:tcPr/>
          <w:p>
            <w:pPr>
              <w:pStyle w:val="Compact"/>
              <w:jc w:val="right"/>
            </w:pPr>
            <w:r>
              <w:t xml:space="preserve">5,850</w:t>
            </w:r>
          </w:p>
        </w:tc>
        <w:tc>
          <w:tcPr/>
          <w:p>
            <w:pPr>
              <w:pStyle w:val="Compact"/>
              <w:jc w:val="right"/>
            </w:pPr>
            <w:r>
              <w:t xml:space="preserve">6,300</w:t>
            </w:r>
          </w:p>
        </w:tc>
        <w:tc>
          <w:tcPr/>
          <w:p>
            <w:pPr>
              <w:pStyle w:val="Compact"/>
              <w:jc w:val="right"/>
            </w:pPr>
            <w:r>
              <w:t xml:space="preserve">6,900</w:t>
            </w:r>
          </w:p>
        </w:tc>
        <w:tc>
          <w:tcPr/>
          <w:p>
            <w:pPr>
              <w:pStyle w:val="Compact"/>
              <w:jc w:val="right"/>
            </w:pPr>
            <w:r>
              <w:t xml:space="preserve">7,350</w:t>
            </w:r>
          </w:p>
        </w:tc>
      </w:tr>
      <w:tr>
        <w:tc>
          <w:tcPr/>
          <w:p>
            <w:pPr>
              <w:pStyle w:val="Compact"/>
            </w:pPr>
            <w:r>
              <w:t xml:space="preserve">Average occupancy</w:t>
            </w:r>
          </w:p>
        </w:tc>
        <w:tc>
          <w:tcPr/>
          <w:p>
            <w:pPr>
              <w:pStyle w:val="Compact"/>
              <w:jc w:val="right"/>
            </w:pPr>
            <w:r>
              <w:t xml:space="preserve">76%</w:t>
            </w:r>
          </w:p>
        </w:tc>
        <w:tc>
          <w:tcPr/>
          <w:p>
            <w:pPr>
              <w:pStyle w:val="Compact"/>
              <w:jc w:val="right"/>
            </w:pPr>
            <w:r>
              <w:t xml:space="preserve">75%</w:t>
            </w:r>
          </w:p>
        </w:tc>
        <w:tc>
          <w:tcPr/>
          <w:p>
            <w:pPr>
              <w:pStyle w:val="Compact"/>
              <w:jc w:val="right"/>
            </w:pPr>
            <w:r>
              <w:t xml:space="preserve">75%</w:t>
            </w:r>
          </w:p>
        </w:tc>
        <w:tc>
          <w:tcPr/>
          <w:p>
            <w:pPr>
              <w:pStyle w:val="Compact"/>
              <w:jc w:val="right"/>
            </w:pPr>
            <w:r>
              <w:t xml:space="preserve">76%</w:t>
            </w:r>
          </w:p>
        </w:tc>
        <w:tc>
          <w:tcPr/>
          <w:p>
            <w:pPr>
              <w:pStyle w:val="Compact"/>
              <w:jc w:val="right"/>
            </w:pPr>
            <w:r>
              <w:t xml:space="preserve">76%</w:t>
            </w:r>
          </w:p>
        </w:tc>
        <w:tc>
          <w:tcPr/>
          <w:p>
            <w:pPr>
              <w:pStyle w:val="Compact"/>
              <w:jc w:val="right"/>
            </w:pPr>
            <w:r>
              <w:t xml:space="preserve">77%</w:t>
            </w:r>
          </w:p>
        </w:tc>
      </w:tr>
      <w:tr>
        <w:tc>
          <w:tcPr/>
          <w:p>
            <w:pPr>
              <w:pStyle w:val="Compact"/>
            </w:pPr>
            <w:r>
              <w:t xml:space="preserve">ARPOB</w:t>
            </w:r>
          </w:p>
        </w:tc>
        <w:tc>
          <w:tcPr/>
          <w:p>
            <w:pPr>
              <w:pStyle w:val="Compact"/>
              <w:jc w:val="right"/>
            </w:pPr>
            <w:r>
              <w:t xml:space="preserve">₹77.8k</w:t>
            </w:r>
          </w:p>
        </w:tc>
        <w:tc>
          <w:tcPr/>
          <w:p>
            <w:pPr>
              <w:pStyle w:val="Compact"/>
              <w:jc w:val="right"/>
            </w:pPr>
            <w:r>
              <w:t xml:space="preserve">₹81.5k</w:t>
            </w:r>
          </w:p>
        </w:tc>
        <w:tc>
          <w:tcPr/>
          <w:p>
            <w:pPr>
              <w:pStyle w:val="Compact"/>
              <w:jc w:val="right"/>
            </w:pPr>
            <w:r>
              <w:t xml:space="preserve">₹85.6k</w:t>
            </w:r>
          </w:p>
        </w:tc>
        <w:tc>
          <w:tcPr/>
          <w:p>
            <w:pPr>
              <w:pStyle w:val="Compact"/>
              <w:jc w:val="right"/>
            </w:pPr>
            <w:r>
              <w:t xml:space="preserve">₹90.0k</w:t>
            </w:r>
          </w:p>
        </w:tc>
        <w:tc>
          <w:tcPr/>
          <w:p>
            <w:pPr>
              <w:pStyle w:val="Compact"/>
              <w:jc w:val="right"/>
            </w:pPr>
            <w:r>
              <w:t xml:space="preserve">₹94.5k</w:t>
            </w:r>
          </w:p>
        </w:tc>
        <w:tc>
          <w:tcPr/>
          <w:p>
            <w:pPr>
              <w:pStyle w:val="Compact"/>
              <w:jc w:val="right"/>
            </w:pPr>
            <w:r>
              <w:t xml:space="preserve">₹99.2k</w:t>
            </w:r>
          </w:p>
        </w:tc>
      </w:tr>
      <w:tr>
        <w:tc>
          <w:tcPr/>
          <w:p>
            <w:pPr>
              <w:pStyle w:val="Compact"/>
            </w:pPr>
            <w:r>
              <w:t xml:space="preserve">Network revenue</w:t>
            </w:r>
          </w:p>
        </w:tc>
        <w:tc>
          <w:tcPr/>
          <w:p>
            <w:pPr>
              <w:pStyle w:val="Compact"/>
              <w:jc w:val="right"/>
            </w:pPr>
            <w:r>
              <w:t xml:space="preserve">10,538</w:t>
            </w:r>
          </w:p>
        </w:tc>
        <w:tc>
          <w:tcPr/>
          <w:p>
            <w:pPr>
              <w:pStyle w:val="Compact"/>
              <w:jc w:val="right"/>
            </w:pPr>
            <w:r>
              <w:t xml:space="preserve">11,736</w:t>
            </w:r>
          </w:p>
        </w:tc>
        <w:tc>
          <w:tcPr/>
          <w:p>
            <w:pPr>
              <w:pStyle w:val="Compact"/>
              <w:jc w:val="right"/>
            </w:pPr>
            <w:r>
              <w:t xml:space="preserve">13,368</w:t>
            </w:r>
          </w:p>
        </w:tc>
        <w:tc>
          <w:tcPr/>
          <w:p>
            <w:pPr>
              <w:pStyle w:val="Compact"/>
              <w:jc w:val="right"/>
            </w:pPr>
            <w:r>
              <w:t xml:space="preserve">15,319</w:t>
            </w:r>
          </w:p>
        </w:tc>
        <w:tc>
          <w:tcPr/>
          <w:p>
            <w:pPr>
              <w:pStyle w:val="Compact"/>
              <w:jc w:val="right"/>
            </w:pPr>
            <w:r>
              <w:t xml:space="preserve">17,474</w:t>
            </w:r>
          </w:p>
        </w:tc>
        <w:tc>
          <w:tcPr/>
          <w:p>
            <w:pPr>
              <w:pStyle w:val="Compact"/>
              <w:jc w:val="right"/>
            </w:pPr>
            <w:r>
              <w:t xml:space="preserve">20,063</w:t>
            </w:r>
          </w:p>
        </w:tc>
      </w:tr>
      <w:tr>
        <w:tc>
          <w:tcPr/>
          <w:p>
            <w:pPr>
              <w:pStyle w:val="Compact"/>
            </w:pPr>
            <w:r>
              <w:t xml:space="preserve">EBITDA</w:t>
            </w:r>
          </w:p>
        </w:tc>
        <w:tc>
          <w:tcPr/>
          <w:p>
            <w:pPr>
              <w:pStyle w:val="Compact"/>
              <w:jc w:val="right"/>
            </w:pPr>
            <w:r>
              <w:t xml:space="preserve">2,638</w:t>
            </w:r>
          </w:p>
        </w:tc>
        <w:tc>
          <w:tcPr/>
          <w:p>
            <w:pPr>
              <w:pStyle w:val="Compact"/>
              <w:jc w:val="right"/>
            </w:pPr>
            <w:r>
              <w:t xml:space="preserve">2,993</w:t>
            </w:r>
          </w:p>
        </w:tc>
        <w:tc>
          <w:tcPr/>
          <w:p>
            <w:pPr>
              <w:pStyle w:val="Compact"/>
              <w:jc w:val="right"/>
            </w:pPr>
            <w:r>
              <w:t xml:space="preserve">3,449</w:t>
            </w:r>
          </w:p>
        </w:tc>
        <w:tc>
          <w:tcPr/>
          <w:p>
            <w:pPr>
              <w:pStyle w:val="Compact"/>
              <w:jc w:val="right"/>
            </w:pPr>
            <w:r>
              <w:t xml:space="preserve">4,029</w:t>
            </w:r>
          </w:p>
        </w:tc>
        <w:tc>
          <w:tcPr/>
          <w:p>
            <w:pPr>
              <w:pStyle w:val="Compact"/>
              <w:jc w:val="right"/>
            </w:pPr>
            <w:r>
              <w:t xml:space="preserve">4,683</w:t>
            </w:r>
          </w:p>
        </w:tc>
        <w:tc>
          <w:tcPr/>
          <w:p>
            <w:pPr>
              <w:pStyle w:val="Compact"/>
              <w:jc w:val="right"/>
            </w:pPr>
            <w:r>
              <w:t xml:space="preserve">5,457</w:t>
            </w:r>
          </w:p>
        </w:tc>
      </w:tr>
      <w:tr>
        <w:tc>
          <w:tcPr/>
          <w:p>
            <w:pPr>
              <w:pStyle w:val="Compact"/>
            </w:pPr>
            <w:r>
              <w:t xml:space="preserve">EBITDA margin</w:t>
            </w:r>
          </w:p>
        </w:tc>
        <w:tc>
          <w:tcPr/>
          <w:p>
            <w:pPr>
              <w:pStyle w:val="Compact"/>
              <w:jc w:val="right"/>
            </w:pPr>
            <w:r>
              <w:t xml:space="preserve">26.2%</w:t>
            </w:r>
          </w:p>
        </w:tc>
        <w:tc>
          <w:tcPr/>
          <w:p>
            <w:pPr>
              <w:pStyle w:val="Compact"/>
              <w:jc w:val="right"/>
            </w:pPr>
            <w:r>
              <w:t xml:space="preserve">25.5%</w:t>
            </w:r>
          </w:p>
        </w:tc>
        <w:tc>
          <w:tcPr/>
          <w:p>
            <w:pPr>
              <w:pStyle w:val="Compact"/>
              <w:jc w:val="right"/>
            </w:pPr>
            <w:r>
              <w:t xml:space="preserve">25.8%</w:t>
            </w:r>
          </w:p>
        </w:tc>
        <w:tc>
          <w:tcPr/>
          <w:p>
            <w:pPr>
              <w:pStyle w:val="Compact"/>
              <w:jc w:val="right"/>
            </w:pPr>
            <w:r>
              <w:t xml:space="preserve">26.3%</w:t>
            </w:r>
          </w:p>
        </w:tc>
        <w:tc>
          <w:tcPr/>
          <w:p>
            <w:pPr>
              <w:pStyle w:val="Compact"/>
              <w:jc w:val="right"/>
            </w:pPr>
            <w:r>
              <w:t xml:space="preserve">26.8%</w:t>
            </w:r>
          </w:p>
        </w:tc>
        <w:tc>
          <w:tcPr/>
          <w:p>
            <w:pPr>
              <w:pStyle w:val="Compact"/>
              <w:jc w:val="right"/>
            </w:pPr>
            <w:r>
              <w:t xml:space="preserve">27.2%</w:t>
            </w:r>
          </w:p>
        </w:tc>
      </w:tr>
      <w:tr>
        <w:tc>
          <w:tcPr/>
          <w:p>
            <w:pPr>
              <w:pStyle w:val="Compact"/>
            </w:pPr>
            <w:r>
              <w:t xml:space="preserve">PAT</w:t>
            </w:r>
          </w:p>
        </w:tc>
        <w:tc>
          <w:tcPr/>
          <w:p>
            <w:pPr>
              <w:pStyle w:val="Compact"/>
              <w:jc w:val="right"/>
            </w:pPr>
            <w:r>
              <w:t xml:space="preserve">1,631*</w:t>
            </w:r>
          </w:p>
        </w:tc>
        <w:tc>
          <w:tcPr/>
          <w:p>
            <w:pPr>
              <w:pStyle w:val="Compact"/>
              <w:jc w:val="right"/>
            </w:pPr>
            <w:r>
              <w:t xml:space="preserve">1,663</w:t>
            </w:r>
          </w:p>
        </w:tc>
        <w:tc>
          <w:tcPr/>
          <w:p>
            <w:pPr>
              <w:pStyle w:val="Compact"/>
              <w:jc w:val="right"/>
            </w:pPr>
            <w:r>
              <w:t xml:space="preserve">1,916</w:t>
            </w:r>
          </w:p>
        </w:tc>
        <w:tc>
          <w:tcPr/>
          <w:p>
            <w:pPr>
              <w:pStyle w:val="Compact"/>
              <w:jc w:val="right"/>
            </w:pPr>
            <w:r>
              <w:t xml:space="preserve">2,259</w:t>
            </w:r>
          </w:p>
        </w:tc>
        <w:tc>
          <w:tcPr/>
          <w:p>
            <w:pPr>
              <w:pStyle w:val="Compact"/>
              <w:jc w:val="right"/>
            </w:pPr>
            <w:r>
              <w:t xml:space="preserve">2,644</w:t>
            </w:r>
          </w:p>
        </w:tc>
        <w:tc>
          <w:tcPr/>
          <w:p>
            <w:pPr>
              <w:pStyle w:val="Compact"/>
              <w:jc w:val="right"/>
            </w:pPr>
            <w:r>
              <w:t xml:space="preserve">3,115</w:t>
            </w:r>
          </w:p>
        </w:tc>
      </w:tr>
      <w:tr>
        <w:tc>
          <w:tcPr/>
          <w:p>
            <w:pPr>
              <w:pStyle w:val="Compact"/>
            </w:pPr>
            <w:r>
              <w:t xml:space="preserve">Diluted EPS</w:t>
            </w:r>
          </w:p>
        </w:tc>
        <w:tc>
          <w:tcPr/>
          <w:p>
            <w:pPr>
              <w:pStyle w:val="Compact"/>
              <w:jc w:val="right"/>
            </w:pPr>
            <w:r>
              <w:t xml:space="preserve">14.76</w:t>
            </w:r>
          </w:p>
        </w:tc>
        <w:tc>
          <w:tcPr/>
          <w:p>
            <w:pPr>
              <w:pStyle w:val="Compact"/>
              <w:jc w:val="right"/>
            </w:pPr>
            <w:r>
              <w:t xml:space="preserve">17.0</w:t>
            </w:r>
          </w:p>
        </w:tc>
        <w:tc>
          <w:tcPr/>
          <w:p>
            <w:pPr>
              <w:pStyle w:val="Compact"/>
              <w:jc w:val="right"/>
            </w:pPr>
            <w:r>
              <w:t xml:space="preserve">19.6</w:t>
            </w:r>
          </w:p>
        </w:tc>
        <w:tc>
          <w:tcPr/>
          <w:p>
            <w:pPr>
              <w:pStyle w:val="Compact"/>
              <w:jc w:val="right"/>
            </w:pPr>
            <w:r>
              <w:t xml:space="preserve">23.1</w:t>
            </w:r>
          </w:p>
        </w:tc>
        <w:tc>
          <w:tcPr/>
          <w:p>
            <w:pPr>
              <w:pStyle w:val="Compact"/>
              <w:jc w:val="right"/>
            </w:pPr>
            <w:r>
              <w:t xml:space="preserve">27.0</w:t>
            </w:r>
          </w:p>
        </w:tc>
        <w:tc>
          <w:tcPr/>
          <w:p>
            <w:pPr>
              <w:pStyle w:val="Compact"/>
              <w:jc w:val="right"/>
            </w:pPr>
            <w:r>
              <w:t xml:space="preserve">31.8</w:t>
            </w:r>
          </w:p>
        </w:tc>
      </w:tr>
      <w:tr>
        <w:tc>
          <w:tcPr/>
          <w:p>
            <w:pPr>
              <w:pStyle w:val="Compact"/>
            </w:pPr>
            <w:r>
              <w:t xml:space="preserve">Maintenance capex</w:t>
            </w:r>
          </w:p>
        </w:tc>
        <w:tc>
          <w:tcPr/>
          <w:p>
            <w:pPr>
              <w:pStyle w:val="Compact"/>
              <w:jc w:val="right"/>
            </w:pPr>
            <w:r>
              <w:t xml:space="preserve">n.a.</w:t>
            </w:r>
          </w:p>
        </w:tc>
        <w:tc>
          <w:tcPr/>
          <w:p>
            <w:pPr>
              <w:pStyle w:val="Compact"/>
              <w:jc w:val="right"/>
            </w:pPr>
            <w:r>
              <w:t xml:space="preserve">411</w:t>
            </w:r>
          </w:p>
        </w:tc>
        <w:tc>
          <w:tcPr/>
          <w:p>
            <w:pPr>
              <w:pStyle w:val="Compact"/>
              <w:jc w:val="right"/>
            </w:pPr>
            <w:r>
              <w:t xml:space="preserve">468</w:t>
            </w:r>
          </w:p>
        </w:tc>
        <w:tc>
          <w:tcPr/>
          <w:p>
            <w:pPr>
              <w:pStyle w:val="Compact"/>
              <w:jc w:val="right"/>
            </w:pPr>
            <w:r>
              <w:t xml:space="preserve">536</w:t>
            </w:r>
          </w:p>
        </w:tc>
        <w:tc>
          <w:tcPr/>
          <w:p>
            <w:pPr>
              <w:pStyle w:val="Compact"/>
              <w:jc w:val="right"/>
            </w:pPr>
            <w:r>
              <w:t xml:space="preserve">611</w:t>
            </w:r>
          </w:p>
        </w:tc>
        <w:tc>
          <w:tcPr/>
          <w:p>
            <w:pPr>
              <w:pStyle w:val="Compact"/>
              <w:jc w:val="right"/>
            </w:pPr>
            <w:r>
              <w:t xml:space="preserve">702</w:t>
            </w:r>
          </w:p>
        </w:tc>
      </w:tr>
      <w:tr>
        <w:tc>
          <w:tcPr/>
          <w:p>
            <w:pPr>
              <w:pStyle w:val="Compact"/>
            </w:pPr>
            <w:r>
              <w:t xml:space="preserve">Growth capex</w:t>
            </w:r>
          </w:p>
        </w:tc>
        <w:tc>
          <w:tcPr/>
          <w:p>
            <w:pPr>
              <w:pStyle w:val="Compact"/>
              <w:jc w:val="right"/>
            </w:pPr>
            <w:r>
              <w:t xml:space="preserve">n.a.</w:t>
            </w:r>
          </w:p>
        </w:tc>
        <w:tc>
          <w:tcPr/>
          <w:p>
            <w:pPr>
              <w:pStyle w:val="Compact"/>
              <w:jc w:val="right"/>
            </w:pPr>
            <w:r>
              <w:t xml:space="preserve">1,700</w:t>
            </w:r>
          </w:p>
        </w:tc>
        <w:tc>
          <w:tcPr/>
          <w:p>
            <w:pPr>
              <w:pStyle w:val="Compact"/>
              <w:jc w:val="right"/>
            </w:pPr>
            <w:r>
              <w:t xml:space="preserve">1,500</w:t>
            </w:r>
          </w:p>
        </w:tc>
        <w:tc>
          <w:tcPr/>
          <w:p>
            <w:pPr>
              <w:pStyle w:val="Compact"/>
              <w:jc w:val="right"/>
            </w:pPr>
            <w:r>
              <w:t xml:space="preserve">1,350</w:t>
            </w:r>
          </w:p>
        </w:tc>
        <w:tc>
          <w:tcPr/>
          <w:p>
            <w:pPr>
              <w:pStyle w:val="Compact"/>
              <w:jc w:val="right"/>
            </w:pPr>
            <w:r>
              <w:t xml:space="preserve">1,100</w:t>
            </w:r>
          </w:p>
        </w:tc>
        <w:tc>
          <w:tcPr/>
          <w:p>
            <w:pPr>
              <w:pStyle w:val="Compact"/>
              <w:jc w:val="right"/>
            </w:pPr>
            <w:r>
              <w:t xml:space="preserve">900</w:t>
            </w:r>
          </w:p>
        </w:tc>
      </w:tr>
    </w:tbl>
    <w:p>
      <w:pPr>
        <w:pStyle w:val="BodyText"/>
      </w:pPr>
      <w:r>
        <w:t xml:space="preserve">*FY26 PAT includes the one-time tax benefit and exceptional items already disclosed by the company.</w:t>
      </w:r>
      <w:r>
        <w:t xml:space="preserve"> </w:t>
      </w:r>
      <w:r>
        <w:rPr>
          <w:b/>
          <w:bCs/>
        </w:rPr>
        <w:t xml:space="preserve">All forecast values are my estimates.</w:t>
      </w:r>
    </w:p>
    <w:p>
      <w:pPr>
        <w:pStyle w:val="BodyText"/>
      </w:pPr>
      <w:r>
        <w:t xml:space="preserve">The logic behind these estimates is straightforward. I assume the already commissioned Smart Saket and Nanavati beds ramp through FY27; Kalinga is included from FY27; Dwarka, Dehradun and the asset-light projects contribute more gradually than management’s broad capacity rhetoric implies; Lucknow phase-II contributes closer to FY30 than to FY29; and Pune contributes mostly beyond the explicit three-year valuation horizon. I also assume that margin expansion is delayed by clinician hiring and initial underutilisation before resuming as brownfields mature.</w:t>
      </w:r>
      <w:r>
        <w:t xml:space="preserve"> </w:t>
      </w:r>
      <w:hyperlink r:id="rId22">
        <w:r>
          <w:rPr>
            <w:rStyle w:val="Hyperlink"/>
          </w:rPr>
          <w:t xml:space="preserve">[41]</w:t>
        </w:r>
      </w:hyperlink>
    </w:p>
    <w:p>
      <w:pPr>
        <w:pStyle w:val="BodyText"/>
      </w:pPr>
      <w:r>
        <w:t xml:space="preserve">The valuation is the crux of the recommendation. I use five lenses.</w:t>
      </w:r>
    </w:p>
    <w:p>
      <w:pPr>
        <w:pStyle w:val="BodyText"/>
      </w:pPr>
      <w:r>
        <w:rPr>
          <w:b/>
          <w:bCs/>
        </w:rPr>
        <w:t xml:space="preserve">First, current trading multiples.</w:t>
      </w:r>
      <w:r>
        <w:t xml:space="preserve"> </w:t>
      </w:r>
      <w:r>
        <w:t xml:space="preserve">At ₹1,081, the stock trades at about</w:t>
      </w:r>
      <w:r>
        <w:t xml:space="preserve"> </w:t>
      </w:r>
      <w:r>
        <w:rPr>
          <w:b/>
          <w:bCs/>
        </w:rPr>
        <w:t xml:space="preserve">41x FY26 network EBITDA</w:t>
      </w:r>
      <w:r>
        <w:t xml:space="preserve">,</w:t>
      </w:r>
      <w:r>
        <w:t xml:space="preserve"> </w:t>
      </w:r>
      <w:r>
        <w:rPr>
          <w:b/>
          <w:bCs/>
        </w:rPr>
        <w:t xml:space="preserve">~73x FY26 consolidated EPS</w:t>
      </w:r>
      <w:r>
        <w:t xml:space="preserve">,</w:t>
      </w:r>
      <w:r>
        <w:t xml:space="preserve"> </w:t>
      </w:r>
      <w:r>
        <w:rPr>
          <w:b/>
          <w:bCs/>
        </w:rPr>
        <w:t xml:space="preserve">~₹21.8 crore per operational bed</w:t>
      </w:r>
      <w:r>
        <w:t xml:space="preserve">, and</w:t>
      </w:r>
      <w:r>
        <w:t xml:space="preserve"> </w:t>
      </w:r>
      <w:r>
        <w:rPr>
          <w:b/>
          <w:bCs/>
        </w:rPr>
        <w:t xml:space="preserve">~₹17.7 crore per installed bed</w:t>
      </w:r>
      <w:r>
        <w:t xml:space="preserve">, based on the Jun-26 share count and Mar-26 liabilities/cash. By any conventional lens, this is a premium valuation.</w:t>
      </w:r>
      <w:r>
        <w:t xml:space="preserve"> </w:t>
      </w:r>
      <w:hyperlink r:id="rId21">
        <w:r>
          <w:rPr>
            <w:rStyle w:val="Hyperlink"/>
          </w:rPr>
          <w:t xml:space="preserve">[42]</w:t>
        </w:r>
      </w:hyperlink>
    </w:p>
    <w:p>
      <w:pPr>
        <w:pStyle w:val="BodyText"/>
      </w:pPr>
      <w:r>
        <w:rPr>
          <w:b/>
          <w:bCs/>
        </w:rPr>
        <w:t xml:space="preserve">Second, replacement cost and transaction value.</w:t>
      </w:r>
      <w:r>
        <w:t xml:space="preserve"> </w:t>
      </w:r>
      <w:r>
        <w:t xml:space="preserve">The board approved around</w:t>
      </w:r>
      <w:r>
        <w:t xml:space="preserve"> </w:t>
      </w:r>
      <w:r>
        <w:rPr>
          <w:b/>
          <w:bCs/>
        </w:rPr>
        <w:t xml:space="preserve">₹1,400 crore</w:t>
      </w:r>
      <w:r>
        <w:t xml:space="preserve"> </w:t>
      </w:r>
      <w:r>
        <w:t xml:space="preserve">for the</w:t>
      </w:r>
      <w:r>
        <w:t xml:space="preserve"> </w:t>
      </w:r>
      <w:r>
        <w:rPr>
          <w:b/>
          <w:bCs/>
        </w:rPr>
        <w:t xml:space="preserve">712-bed Lucknow greenfield</w:t>
      </w:r>
      <w:r>
        <w:t xml:space="preserve">, equal to roughly</w:t>
      </w:r>
      <w:r>
        <w:t xml:space="preserve"> </w:t>
      </w:r>
      <w:r>
        <w:rPr>
          <w:b/>
          <w:bCs/>
        </w:rPr>
        <w:t xml:space="preserve">₹1.97 crore per bed</w:t>
      </w:r>
      <w:r>
        <w:t xml:space="preserve"> </w:t>
      </w:r>
      <w:r>
        <w:t xml:space="preserve">before ramp-up losses. CARE also noted the FY25 acquisitions of</w:t>
      </w:r>
      <w:r>
        <w:t xml:space="preserve"> </w:t>
      </w:r>
      <w:r>
        <w:rPr>
          <w:b/>
          <w:bCs/>
        </w:rPr>
        <w:t xml:space="preserve">Lucknow (550 beds) and Nagpur (200 beds)</w:t>
      </w:r>
      <w:r>
        <w:t xml:space="preserve"> </w:t>
      </w:r>
      <w:r>
        <w:t xml:space="preserve">for an aggregate</w:t>
      </w:r>
      <w:r>
        <w:t xml:space="preserve"> </w:t>
      </w:r>
      <w:r>
        <w:rPr>
          <w:b/>
          <w:bCs/>
        </w:rPr>
        <w:t xml:space="preserve">₹1,405 crore</w:t>
      </w:r>
      <w:r>
        <w:t xml:space="preserve">, and referred to Jaypee Healthcare at an announced EV of</w:t>
      </w:r>
      <w:r>
        <w:t xml:space="preserve"> </w:t>
      </w:r>
      <w:r>
        <w:rPr>
          <w:b/>
          <w:bCs/>
        </w:rPr>
        <w:t xml:space="preserve">₹1,660 crore</w:t>
      </w:r>
      <w:r>
        <w:t xml:space="preserve">. Those are all far below Max’s listed implied EV per operational bed. The spread is not apples-to-apples — mature NCR beds deserve a premium — but the premium is still very large.</w:t>
      </w:r>
      <w:r>
        <w:t xml:space="preserve"> </w:t>
      </w:r>
      <w:hyperlink r:id="rId22">
        <w:r>
          <w:rPr>
            <w:rStyle w:val="Hyperlink"/>
          </w:rPr>
          <w:t xml:space="preserve">[43]</w:t>
        </w:r>
      </w:hyperlink>
    </w:p>
    <w:p>
      <w:pPr>
        <w:pStyle w:val="BodyText"/>
      </w:pPr>
      <w:r>
        <w:rPr>
          <w:b/>
          <w:bCs/>
        </w:rPr>
        <w:t xml:space="preserve">Third, SOTP / per-bed value.</w:t>
      </w:r>
      <w:r>
        <w:t xml:space="preserve"> </w:t>
      </w:r>
      <w:r>
        <w:t xml:space="preserve">A reasonable SOTP values mature metro beds much higher than newer or under-ramp beds, discounts announced projects for remaining capex and time-to-maturity, and adds only modest value for Max Lab and Max@Home. On my numbers, that yields a base equity value close to</w:t>
      </w:r>
      <w:r>
        <w:t xml:space="preserve"> </w:t>
      </w:r>
      <w:r>
        <w:rPr>
          <w:b/>
          <w:bCs/>
        </w:rPr>
        <w:t xml:space="preserve">₹1,080–1,170 per share</w:t>
      </w:r>
      <w:r>
        <w:t xml:space="preserve">, with most of the value sitting in mature NCR/Mumbai beds and only a discounted contribution from the pipeline. This method is the most realistic private-equity lens for Max because the assets are heterogeneous.</w:t>
      </w:r>
      <w:r>
        <w:t xml:space="preserve"> </w:t>
      </w:r>
      <w:r>
        <w:rPr>
          <w:b/>
          <w:bCs/>
        </w:rPr>
        <w:t xml:space="preserve">This is my estimate</w:t>
      </w:r>
      <w:r>
        <w:t xml:space="preserve">, built from the company’s disclosed bed map, operating metrics and project announcements.</w:t>
      </w:r>
      <w:r>
        <w:t xml:space="preserve"> </w:t>
      </w:r>
      <w:hyperlink r:id="rId23">
        <w:r>
          <w:rPr>
            <w:rStyle w:val="Hyperlink"/>
          </w:rPr>
          <w:t xml:space="preserve">[44]</w:t>
        </w:r>
      </w:hyperlink>
    </w:p>
    <w:p>
      <w:pPr>
        <w:pStyle w:val="BodyText"/>
      </w:pPr>
      <w:r>
        <w:rPr>
          <w:b/>
          <w:bCs/>
        </w:rPr>
        <w:t xml:space="preserve">Fourth, DCF.</w:t>
      </w:r>
      <w:r>
        <w:t xml:space="preserve"> </w:t>
      </w:r>
      <w:r>
        <w:t xml:space="preserve">A conventional FCFF DCF is much less supportive. Using a 10-year build that assumes continued capacity addition, margin improvement, and a 10.5% WACC with 5.0% terminal growth, I get a DCF value of roughly</w:t>
      </w:r>
      <w:r>
        <w:t xml:space="preserve"> </w:t>
      </w:r>
      <w:r>
        <w:rPr>
          <w:b/>
          <w:bCs/>
        </w:rPr>
        <w:t xml:space="preserve">₹569/share</w:t>
      </w:r>
      <w:r>
        <w:t xml:space="preserve">. The sensitivity table below is my estimate.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DCF value per share</w:t>
            </w:r>
          </w:p>
        </w:tc>
        <w:tc>
          <w:tcPr/>
          <w:p>
            <w:pPr>
              <w:pStyle w:val="Compact"/>
              <w:jc w:val="right"/>
            </w:pPr>
            <w:r>
              <w:t xml:space="preserve">Terminal growth 4.5%</w:t>
            </w:r>
          </w:p>
        </w:tc>
        <w:tc>
          <w:tcPr/>
          <w:p>
            <w:pPr>
              <w:pStyle w:val="Compact"/>
              <w:jc w:val="right"/>
            </w:pPr>
            <w:r>
              <w:t xml:space="preserve">Terminal growth 5.0%</w:t>
            </w:r>
          </w:p>
        </w:tc>
        <w:tc>
          <w:tcPr/>
          <w:p>
            <w:pPr>
              <w:pStyle w:val="Compact"/>
              <w:jc w:val="right"/>
            </w:pPr>
            <w:r>
              <w:t xml:space="preserve">Terminal growth 5.5%</w:t>
            </w:r>
          </w:p>
        </w:tc>
      </w:tr>
      <w:tr>
        <w:tc>
          <w:tcPr/>
          <w:p>
            <w:pPr>
              <w:pStyle w:val="Compact"/>
            </w:pPr>
            <w:r>
              <w:t xml:space="preserve">WACC 10.5%</w:t>
            </w:r>
          </w:p>
        </w:tc>
        <w:tc>
          <w:tcPr/>
          <w:p>
            <w:pPr>
              <w:pStyle w:val="Compact"/>
              <w:jc w:val="right"/>
            </w:pPr>
            <w:r>
              <w:t xml:space="preserve">₹531</w:t>
            </w:r>
          </w:p>
        </w:tc>
        <w:tc>
          <w:tcPr/>
          <w:p>
            <w:pPr>
              <w:pStyle w:val="Compact"/>
              <w:jc w:val="right"/>
            </w:pPr>
            <w:r>
              <w:t xml:space="preserve">₹569</w:t>
            </w:r>
          </w:p>
        </w:tc>
        <w:tc>
          <w:tcPr/>
          <w:p>
            <w:pPr>
              <w:pStyle w:val="Compact"/>
              <w:jc w:val="right"/>
            </w:pPr>
            <w:r>
              <w:t xml:space="preserve">₹615</w:t>
            </w:r>
          </w:p>
        </w:tc>
      </w:tr>
      <w:tr>
        <w:tc>
          <w:tcPr/>
          <w:p>
            <w:pPr>
              <w:pStyle w:val="Compact"/>
            </w:pPr>
            <w:r>
              <w:t xml:space="preserve">WACC 11.0%</w:t>
            </w:r>
          </w:p>
        </w:tc>
        <w:tc>
          <w:tcPr/>
          <w:p>
            <w:pPr>
              <w:pStyle w:val="Compact"/>
              <w:jc w:val="right"/>
            </w:pPr>
            <w:r>
              <w:t xml:space="preserve">₹479</w:t>
            </w:r>
          </w:p>
        </w:tc>
        <w:tc>
          <w:tcPr/>
          <w:p>
            <w:pPr>
              <w:pStyle w:val="Compact"/>
              <w:jc w:val="right"/>
            </w:pPr>
            <w:r>
              <w:t xml:space="preserve">₹510</w:t>
            </w:r>
          </w:p>
        </w:tc>
        <w:tc>
          <w:tcPr/>
          <w:p>
            <w:pPr>
              <w:pStyle w:val="Compact"/>
              <w:jc w:val="right"/>
            </w:pPr>
            <w:r>
              <w:t xml:space="preserve">₹547</w:t>
            </w:r>
          </w:p>
        </w:tc>
      </w:tr>
      <w:tr>
        <w:tc>
          <w:tcPr/>
          <w:p>
            <w:pPr>
              <w:pStyle w:val="Compact"/>
            </w:pPr>
            <w:r>
              <w:t xml:space="preserve">WACC 11.5%</w:t>
            </w:r>
          </w:p>
        </w:tc>
        <w:tc>
          <w:tcPr/>
          <w:p>
            <w:pPr>
              <w:pStyle w:val="Compact"/>
              <w:jc w:val="right"/>
            </w:pPr>
            <w:r>
              <w:t xml:space="preserve">₹435</w:t>
            </w:r>
          </w:p>
        </w:tc>
        <w:tc>
          <w:tcPr/>
          <w:p>
            <w:pPr>
              <w:pStyle w:val="Compact"/>
              <w:jc w:val="right"/>
            </w:pPr>
            <w:r>
              <w:t xml:space="preserve">₹461</w:t>
            </w:r>
          </w:p>
        </w:tc>
        <w:tc>
          <w:tcPr/>
          <w:p>
            <w:pPr>
              <w:pStyle w:val="Compact"/>
              <w:jc w:val="right"/>
            </w:pPr>
            <w:r>
              <w:t xml:space="preserve">₹491</w:t>
            </w:r>
          </w:p>
        </w:tc>
      </w:tr>
    </w:tbl>
    <w:p>
      <w:pPr>
        <w:pStyle w:val="BodyText"/>
      </w:pPr>
      <w:r>
        <w:t xml:space="preserve">The point of showing this is</w:t>
      </w:r>
      <w:r>
        <w:t xml:space="preserve"> </w:t>
      </w:r>
      <w:r>
        <w:rPr>
          <w:b/>
          <w:bCs/>
        </w:rPr>
        <w:t xml:space="preserve">not</w:t>
      </w:r>
      <w:r>
        <w:t xml:space="preserve"> </w:t>
      </w:r>
      <w:r>
        <w:t xml:space="preserve">to claim that Max should trade at ₹500. The point is that the current price depends heavily on long-duration growth being monetised at premium exit multiples rather than on near-term cash generation. That is acceptable for a momentum or scarcity trade; it is much less attractive for a private-equity-style minority investment seeking a strong margin of safety.</w:t>
      </w:r>
      <w:r>
        <w:t xml:space="preserve"> </w:t>
      </w:r>
      <w:r>
        <w:rPr>
          <w:b/>
          <w:bCs/>
        </w:rPr>
        <w:t xml:space="preserve">The DCF table is my estimate using company-reported operating data and my forecast assumptions.</w:t>
      </w:r>
      <w:r>
        <w:t xml:space="preserve"> </w:t>
      </w:r>
      <w:hyperlink r:id="rId22">
        <w:r>
          <w:rPr>
            <w:rStyle w:val="Hyperlink"/>
          </w:rPr>
          <w:t xml:space="preserve">[45]</w:t>
        </w:r>
      </w:hyperlink>
    </w:p>
    <w:p>
      <w:pPr>
        <w:pStyle w:val="BodyText"/>
      </w:pPr>
      <w:r>
        <w:rPr>
          <w:b/>
          <w:bCs/>
        </w:rPr>
        <w:t xml:space="preserve">Fifth, visible market expectations.</w:t>
      </w:r>
      <w:r>
        <w:t xml:space="preserve"> </w:t>
      </w:r>
      <w:r>
        <w:t xml:space="preserve">A February 2026 brokerage report expected EBITDA to grow at a</w:t>
      </w:r>
      <w:r>
        <w:t xml:space="preserve"> </w:t>
      </w:r>
      <w:r>
        <w:rPr>
          <w:b/>
          <w:bCs/>
        </w:rPr>
        <w:t xml:space="preserve">21% CAGR over FY26-28</w:t>
      </w:r>
      <w:r>
        <w:t xml:space="preserve"> </w:t>
      </w:r>
      <w:r>
        <w:t xml:space="preserve">and said the stock was then trading at</w:t>
      </w:r>
      <w:r>
        <w:t xml:space="preserve"> </w:t>
      </w:r>
      <w:r>
        <w:rPr>
          <w:b/>
          <w:bCs/>
        </w:rPr>
        <w:t xml:space="preserve">26x FY28 EV/EBITDA</w:t>
      </w:r>
      <w:r>
        <w:t xml:space="preserve">. That is useful as a sense check: the market’s valuation framework is already several years forward. I broadly agree with the long-duration framing; I disagree that the current entry price offers a compelling risk-adjusted return.</w:t>
      </w:r>
      <w:r>
        <w:t xml:space="preserve"> </w:t>
      </w:r>
      <w:hyperlink r:id="rId38">
        <w:r>
          <w:rPr>
            <w:rStyle w:val="Hyperlink"/>
          </w:rPr>
          <w:t xml:space="preserve">[46]</w:t>
        </w:r>
      </w:hyperlink>
    </w:p>
    <w:p>
      <w:pPr>
        <w:pStyle w:val="BodyText"/>
      </w:pPr>
      <w:r>
        <w:t xml:space="preserve">My scenario analysis is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Key assumptions</w:t>
            </w:r>
          </w:p>
        </w:tc>
        <w:tc>
          <w:tcPr/>
          <w:p>
            <w:pPr>
              <w:pStyle w:val="Compact"/>
              <w:jc w:val="right"/>
            </w:pPr>
            <w:r>
              <w:t xml:space="preserve">Fair value</w:t>
            </w:r>
          </w:p>
        </w:tc>
        <w:tc>
          <w:tcPr/>
          <w:p>
            <w:pPr>
              <w:pStyle w:val="Compact"/>
              <w:jc w:val="right"/>
            </w:pPr>
            <w:r>
              <w:t xml:space="preserve">3-year return from ₹1,081</w:t>
            </w:r>
          </w:p>
        </w:tc>
      </w:tr>
      <w:tr>
        <w:tc>
          <w:tcPr/>
          <w:p>
            <w:pPr>
              <w:pStyle w:val="Compact"/>
            </w:pPr>
            <w:r>
              <w:t xml:space="preserve">Downside</w:t>
            </w:r>
          </w:p>
        </w:tc>
        <w:tc>
          <w:tcPr/>
          <w:p>
            <w:pPr>
              <w:pStyle w:val="Compact"/>
            </w:pPr>
            <w:r>
              <w:t xml:space="preserve">slower commissioning; occupancy ~73–75%; ARPOB CAGR ~4%; margin stuck ~24.5–25.5%; higher capex; moderate de-rating</w:t>
            </w:r>
          </w:p>
        </w:tc>
        <w:tc>
          <w:tcPr/>
          <w:p>
            <w:pPr>
              <w:pStyle w:val="Compact"/>
              <w:jc w:val="right"/>
            </w:pPr>
            <w:r>
              <w:t xml:space="preserve">₹800</w:t>
            </w:r>
          </w:p>
        </w:tc>
        <w:tc>
          <w:tcPr/>
          <w:p>
            <w:pPr>
              <w:pStyle w:val="Compact"/>
              <w:jc w:val="right"/>
            </w:pPr>
            <w:r>
              <w:t xml:space="preserve">about</w:t>
            </w:r>
            <w:r>
              <w:t xml:space="preserve"> </w:t>
            </w:r>
            <w:r>
              <w:rPr>
                <w:b/>
                <w:bCs/>
              </w:rPr>
              <w:t xml:space="preserve">-9% CAGR</w:t>
            </w:r>
          </w:p>
        </w:tc>
      </w:tr>
      <w:tr>
        <w:tc>
          <w:tcPr/>
          <w:p>
            <w:pPr>
              <w:pStyle w:val="Compact"/>
            </w:pPr>
            <w:r>
              <w:t xml:space="preserve">Base</w:t>
            </w:r>
          </w:p>
        </w:tc>
        <w:tc>
          <w:tcPr/>
          <w:p>
            <w:pPr>
              <w:pStyle w:val="Compact"/>
            </w:pPr>
            <w:r>
              <w:t xml:space="preserve">bed additions below management’s broad aspiration but still strong; ARPOB CAGR ~5%; EBITDA margin ~27% by FY31; no major adverse legal event</w:t>
            </w:r>
          </w:p>
        </w:tc>
        <w:tc>
          <w:tcPr/>
          <w:p>
            <w:pPr>
              <w:pStyle w:val="Compact"/>
              <w:jc w:val="right"/>
            </w:pPr>
            <w:r>
              <w:t xml:space="preserve">₹1,125</w:t>
            </w:r>
          </w:p>
        </w:tc>
        <w:tc>
          <w:tcPr/>
          <w:p>
            <w:pPr>
              <w:pStyle w:val="Compact"/>
              <w:jc w:val="right"/>
            </w:pPr>
            <w:r>
              <w:t xml:space="preserve">about</w:t>
            </w:r>
            <w:r>
              <w:t xml:space="preserve"> </w:t>
            </w:r>
            <w:r>
              <w:rPr>
                <w:b/>
                <w:bCs/>
              </w:rPr>
              <w:t xml:space="preserve">+1–2% CAGR</w:t>
            </w:r>
          </w:p>
        </w:tc>
      </w:tr>
      <w:tr>
        <w:tc>
          <w:tcPr/>
          <w:p>
            <w:pPr>
              <w:pStyle w:val="Compact"/>
            </w:pPr>
            <w:r>
              <w:t xml:space="preserve">Upside</w:t>
            </w:r>
          </w:p>
        </w:tc>
        <w:tc>
          <w:tcPr/>
          <w:p>
            <w:pPr>
              <w:pStyle w:val="Compact"/>
            </w:pPr>
            <w:r>
              <w:t xml:space="preserve">faster brownfield ramp; Gurugram lands well; higher mix from international and premium specialties; successful integration of Kalinga/newer assets; premium multiple holds</w:t>
            </w:r>
          </w:p>
        </w:tc>
        <w:tc>
          <w:tcPr/>
          <w:p>
            <w:pPr>
              <w:pStyle w:val="Compact"/>
              <w:jc w:val="right"/>
            </w:pPr>
            <w:r>
              <w:t xml:space="preserve">₹1,380</w:t>
            </w:r>
          </w:p>
        </w:tc>
        <w:tc>
          <w:tcPr/>
          <w:p>
            <w:pPr>
              <w:pStyle w:val="Compact"/>
              <w:jc w:val="right"/>
            </w:pPr>
            <w:r>
              <w:t xml:space="preserve">about</w:t>
            </w:r>
            <w:r>
              <w:t xml:space="preserve"> </w:t>
            </w:r>
            <w:r>
              <w:rPr>
                <w:b/>
                <w:bCs/>
              </w:rPr>
              <w:t xml:space="preserve">+8–9% CAGR</w:t>
            </w:r>
          </w:p>
        </w:tc>
      </w:tr>
    </w:tbl>
    <w:p>
      <w:pPr>
        <w:pStyle w:val="BodyText"/>
      </w:pPr>
      <w:r>
        <w:t xml:space="preserve">The most important message is simple:</w:t>
      </w:r>
      <w:r>
        <w:t xml:space="preserve"> </w:t>
      </w:r>
      <w:r>
        <w:rPr>
          <w:b/>
          <w:bCs/>
        </w:rPr>
        <w:t xml:space="preserve">the upside exists, but it is not asymmetric from the current print.</w:t>
      </w:r>
    </w:p>
    <w:bookmarkEnd w:id="39"/>
    <w:bookmarkStart w:id="40" w:name="X00e865e9986d9c45b286ceb594d906f185e3020"/>
    <w:p>
      <w:pPr>
        <w:pStyle w:val="Heading2"/>
      </w:pPr>
      <w:r>
        <w:t xml:space="preserve">Investment committee conclusion, diligence agenda and monitoring dashboard</w:t>
      </w:r>
    </w:p>
    <w:p>
      <w:pPr>
        <w:pStyle w:val="FirstParagraph"/>
      </w:pPr>
      <w:r>
        <w:t xml:space="preserve">The strongest bull case is that Max is one of the few listed Indian hospital companies that can still add large bed capacity into proven metro demand pools without diluting brand equity. The company has already commissioned major brownfield capacity, still carries a premium ARPOB, has a visible international patient business at about</w:t>
      </w:r>
      <w:r>
        <w:t xml:space="preserve"> </w:t>
      </w:r>
      <w:r>
        <w:rPr>
          <w:b/>
          <w:bCs/>
        </w:rPr>
        <w:t xml:space="preserve">9% of hospital revenue</w:t>
      </w:r>
      <w:r>
        <w:t xml:space="preserve">, and has built enough clinical depth to support complex specialties and training programs. If NCR/Mumbai demand remains firm and if new beds ramp quickly, operating leverage could reassert itself and the current valuation may prove merely “full” rather than “wrong.”</w:t>
      </w:r>
      <w:r>
        <w:t xml:space="preserve"> </w:t>
      </w:r>
      <w:hyperlink r:id="rId22">
        <w:r>
          <w:rPr>
            <w:rStyle w:val="Hyperlink"/>
          </w:rPr>
          <w:t xml:space="preserve">[47]</w:t>
        </w:r>
      </w:hyperlink>
    </w:p>
    <w:p>
      <w:pPr>
        <w:pStyle w:val="BodyText"/>
      </w:pPr>
      <w:r>
        <w:t xml:space="preserve">The strongest bear case is that the stock is already pricing in nearly all of this. Max is not cheap on EBITDA, earnings, or per-bed value. DCF is materially below spot. Management’s network framing is economically sensible but financially messy. The company is trying to do many things at once: brownfields, new cities, asset-light leases, acquisitions and greenfields. Even if none of these fail, modest delays alone could be enough to produce weak equity returns from the current price.</w:t>
      </w:r>
      <w:r>
        <w:t xml:space="preserve"> </w:t>
      </w:r>
      <w:hyperlink r:id="rId21">
        <w:r>
          <w:rPr>
            <w:rStyle w:val="Hyperlink"/>
          </w:rPr>
          <w:t xml:space="preserve">[48]</w:t>
        </w:r>
      </w:hyperlink>
    </w:p>
    <w:p>
      <w:pPr>
        <w:pStyle w:val="BodyText"/>
      </w:pPr>
      <w:r>
        <w:t xml:space="preserve">I side with the bear case</w:t>
      </w:r>
      <w:r>
        <w:t xml:space="preserve"> </w:t>
      </w:r>
      <w:r>
        <w:rPr>
          <w:b/>
          <w:bCs/>
        </w:rPr>
        <w:t xml:space="preserve">on valuation</w:t>
      </w:r>
      <w:r>
        <w:t xml:space="preserve">, while acknowledging that the</w:t>
      </w:r>
      <w:r>
        <w:t xml:space="preserve"> </w:t>
      </w:r>
      <w:r>
        <w:rPr>
          <w:b/>
          <w:bCs/>
        </w:rPr>
        <w:t xml:space="preserve">business quality</w:t>
      </w:r>
      <w:r>
        <w:t xml:space="preserve"> </w:t>
      </w:r>
      <w:r>
        <w:t xml:space="preserve">is real. The investment committee should therefore</w:t>
      </w:r>
      <w:r>
        <w:t xml:space="preserve"> </w:t>
      </w:r>
      <w:r>
        <w:rPr>
          <w:b/>
          <w:bCs/>
        </w:rPr>
        <w:t xml:space="preserve">wait</w:t>
      </w:r>
      <w:r>
        <w:t xml:space="preserve">, not because Max is a poor business, but because paying too much for a good business is still a bad investment decision. My preferred entry valuation is below</w:t>
      </w:r>
      <w:r>
        <w:t xml:space="preserve"> </w:t>
      </w:r>
      <w:r>
        <w:rPr>
          <w:b/>
          <w:bCs/>
        </w:rPr>
        <w:t xml:space="preserve">₹900/share</w:t>
      </w:r>
      <w:r>
        <w:t xml:space="preserve">, with a more compelling margin of safety below</w:t>
      </w:r>
      <w:r>
        <w:t xml:space="preserve"> </w:t>
      </w:r>
      <w:r>
        <w:rPr>
          <w:b/>
          <w:bCs/>
        </w:rPr>
        <w:t xml:space="preserve">₹850/share</w:t>
      </w:r>
      <w:r>
        <w:t xml:space="preserve">. At those levels, the same operating thesis can produce acceptable medium-term returns without requiring perfection.</w:t>
      </w:r>
      <w:r>
        <w:t xml:space="preserve"> </w:t>
      </w:r>
      <w:hyperlink r:id="rId21">
        <w:r>
          <w:rPr>
            <w:rStyle w:val="Hyperlink"/>
          </w:rPr>
          <w:t xml:space="preserve">[49]</w:t>
        </w:r>
      </w:hyperlink>
    </w:p>
    <w:p>
      <w:pPr>
        <w:pStyle w:val="BodyText"/>
      </w:pPr>
      <w:r>
        <w:t xml:space="preserve">Before investing, I would ask management and channel contacts a short set of questions that could genuinely change the conclusion: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Questions that matter</w:t>
            </w:r>
          </w:p>
        </w:tc>
      </w:tr>
      <w:tr>
        <w:tc>
          <w:tcPr/>
          <w:p>
            <w:pPr>
              <w:pStyle w:val="Compact"/>
            </w:pPr>
            <w:r>
              <w:t xml:space="preserve">Management</w:t>
            </w:r>
          </w:p>
        </w:tc>
        <w:tc>
          <w:tcPr/>
          <w:p>
            <w:pPr>
              <w:pStyle w:val="Compact"/>
            </w:pPr>
            <w:r>
              <w:t xml:space="preserve">What occupancy and EBITDA margin do you need for Smart Saket, Nanavati phase-I and Gurugram to hit group ROCE targets? What is the project-by-project capex per bed, and what portion is already committed?</w:t>
            </w:r>
          </w:p>
        </w:tc>
      </w:tr>
      <w:tr>
        <w:tc>
          <w:tcPr/>
          <w:p>
            <w:pPr>
              <w:pStyle w:val="Compact"/>
            </w:pPr>
            <w:r>
              <w:t xml:space="preserve">Hospital CEOs</w:t>
            </w:r>
          </w:p>
        </w:tc>
        <w:tc>
          <w:tcPr/>
          <w:p>
            <w:pPr>
              <w:pStyle w:val="Compact"/>
            </w:pPr>
            <w:r>
              <w:t xml:space="preserve">Which specific specialties will fill the new beds, and how many senior doctors are already signed versus still targeted?</w:t>
            </w:r>
          </w:p>
        </w:tc>
      </w:tr>
      <w:tr>
        <w:tc>
          <w:tcPr/>
          <w:p>
            <w:pPr>
              <w:pStyle w:val="Compact"/>
            </w:pPr>
            <w:r>
              <w:t xml:space="preserve">Doctors</w:t>
            </w:r>
          </w:p>
        </w:tc>
        <w:tc>
          <w:tcPr/>
          <w:p>
            <w:pPr>
              <w:pStyle w:val="Compact"/>
            </w:pPr>
            <w:r>
              <w:t xml:space="preserve">In NCR and Mumbai, are revenue-share terms getting more generous, and is Max still the preferred platform versus Apollo/Fortis/Manipal?</w:t>
            </w:r>
          </w:p>
        </w:tc>
      </w:tr>
      <w:tr>
        <w:tc>
          <w:tcPr/>
          <w:p>
            <w:pPr>
              <w:pStyle w:val="Compact"/>
            </w:pPr>
            <w:r>
              <w:t xml:space="preserve">Insurers / TPAs</w:t>
            </w:r>
          </w:p>
        </w:tc>
        <w:tc>
          <w:tcPr/>
          <w:p>
            <w:pPr>
              <w:pStyle w:val="Compact"/>
            </w:pPr>
            <w:r>
              <w:t xml:space="preserve">Is Max seeing tougher rate negotiation, slower authorisation, or higher scrutiny on claims relative to peers?</w:t>
            </w:r>
          </w:p>
        </w:tc>
      </w:tr>
      <w:tr>
        <w:tc>
          <w:tcPr/>
          <w:p>
            <w:pPr>
              <w:pStyle w:val="Compact"/>
            </w:pPr>
            <w:r>
              <w:t xml:space="preserve">Former employees / recruiters</w:t>
            </w:r>
          </w:p>
        </w:tc>
        <w:tc>
          <w:tcPr/>
          <w:p>
            <w:pPr>
              <w:pStyle w:val="Compact"/>
            </w:pPr>
            <w:r>
              <w:t xml:space="preserve">Where is nursing or technician churn highest, and which new hospitals are finding it hardest to staff premium specialties?</w:t>
            </w:r>
          </w:p>
        </w:tc>
      </w:tr>
      <w:tr>
        <w:tc>
          <w:tcPr/>
          <w:p>
            <w:pPr>
              <w:pStyle w:val="Compact"/>
            </w:pPr>
            <w:r>
              <w:t xml:space="preserve">Real-estate / regulatory experts</w:t>
            </w:r>
          </w:p>
        </w:tc>
        <w:tc>
          <w:tcPr/>
          <w:p>
            <w:pPr>
              <w:pStyle w:val="Compact"/>
            </w:pPr>
            <w:r>
              <w:t xml:space="preserve">Are there any unresolved land-use, trust, lease, concession or registration issues around Jaypee/Crosslay, Nanavati, Dwarka, Vaishali or the new leased projects that could delay monetisation?</w:t>
            </w:r>
          </w:p>
        </w:tc>
      </w:tr>
      <w:tr>
        <w:tc>
          <w:tcPr/>
          <w:p>
            <w:pPr>
              <w:pStyle w:val="Compact"/>
            </w:pPr>
            <w:r>
              <w:t xml:space="preserve">Competitors</w:t>
            </w:r>
          </w:p>
        </w:tc>
        <w:tc>
          <w:tcPr/>
          <w:p>
            <w:pPr>
              <w:pStyle w:val="Compact"/>
            </w:pPr>
            <w:r>
              <w:t xml:space="preserve">Is Max winning on brand and outcomes, or simply paying more aggressively for clinicians and beds?</w:t>
            </w:r>
          </w:p>
        </w:tc>
      </w:tr>
      <w:tr>
        <w:tc>
          <w:tcPr/>
          <w:p>
            <w:pPr>
              <w:pStyle w:val="Compact"/>
            </w:pPr>
            <w:r>
              <w:t xml:space="preserve">Suppliers / equipment vendors</w:t>
            </w:r>
          </w:p>
        </w:tc>
        <w:tc>
          <w:tcPr/>
          <w:p>
            <w:pPr>
              <w:pStyle w:val="Compact"/>
            </w:pPr>
            <w:r>
              <w:t xml:space="preserve">Are project timelines in Gurugram, Dwarka and Lucknow really progressing on schedule, judged by equipment orders and install sequences rather than management commentary?</w:t>
            </w:r>
          </w:p>
        </w:tc>
      </w:tr>
    </w:tbl>
    <w:p>
      <w:pPr>
        <w:pStyle w:val="BodyText"/>
      </w:pPr>
      <w:r>
        <w:t xml:space="preserve">The quarterly monitoring dashboard should stay narrowly focused on the evidence that tests the thesis.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Positive evidence</w:t>
            </w:r>
          </w:p>
        </w:tc>
        <w:tc>
          <w:tcPr/>
          <w:p>
            <w:pPr>
              <w:pStyle w:val="Compact"/>
            </w:pPr>
            <w:r>
              <w:t xml:space="preserve">Warning sign</w:t>
            </w:r>
          </w:p>
        </w:tc>
        <w:tc>
          <w:tcPr/>
          <w:p>
            <w:pPr>
              <w:pStyle w:val="Compact"/>
            </w:pPr>
            <w:r>
              <w:t xml:space="preserve">Thesis break</w:t>
            </w:r>
          </w:p>
        </w:tc>
      </w:tr>
      <w:tr>
        <w:tc>
          <w:tcPr/>
          <w:p>
            <w:pPr>
              <w:pStyle w:val="Compact"/>
            </w:pPr>
            <w:r>
              <w:t xml:space="preserve">Operational beds</w:t>
            </w:r>
          </w:p>
        </w:tc>
        <w:tc>
          <w:tcPr/>
          <w:p>
            <w:pPr>
              <w:pStyle w:val="Compact"/>
            </w:pPr>
            <w:r>
              <w:t xml:space="preserve">New beds handed to operations broadly on schedule</w:t>
            </w:r>
          </w:p>
        </w:tc>
        <w:tc>
          <w:tcPr/>
          <w:p>
            <w:pPr>
              <w:pStyle w:val="Compact"/>
            </w:pPr>
            <w:r>
              <w:t xml:space="preserve">Push-outs of one to two quarters</w:t>
            </w:r>
          </w:p>
        </w:tc>
        <w:tc>
          <w:tcPr/>
          <w:p>
            <w:pPr>
              <w:pStyle w:val="Compact"/>
            </w:pPr>
            <w:r>
              <w:t xml:space="preserve">Repeated delays across multiple projects</w:t>
            </w:r>
          </w:p>
        </w:tc>
      </w:tr>
      <w:tr>
        <w:tc>
          <w:tcPr/>
          <w:p>
            <w:pPr>
              <w:pStyle w:val="Compact"/>
            </w:pPr>
            <w:r>
              <w:t xml:space="preserve">Occupancy</w:t>
            </w:r>
          </w:p>
        </w:tc>
        <w:tc>
          <w:tcPr/>
          <w:p>
            <w:pPr>
              <w:pStyle w:val="Compact"/>
            </w:pPr>
            <w:r>
              <w:t xml:space="preserve">New towers cross ~50–60% within a reasonable ramp</w:t>
            </w:r>
          </w:p>
        </w:tc>
        <w:tc>
          <w:tcPr/>
          <w:p>
            <w:pPr>
              <w:pStyle w:val="Compact"/>
            </w:pPr>
            <w:r>
              <w:t xml:space="preserve">Occupancy stalls in the 30s/40s after initial opening</w:t>
            </w:r>
          </w:p>
        </w:tc>
        <w:tc>
          <w:tcPr/>
          <w:p>
            <w:pPr>
              <w:pStyle w:val="Compact"/>
            </w:pPr>
            <w:r>
              <w:t xml:space="preserve">Mature assets lose occupancy while new beds also lag</w:t>
            </w:r>
          </w:p>
        </w:tc>
      </w:tr>
      <w:tr>
        <w:tc>
          <w:tcPr/>
          <w:p>
            <w:pPr>
              <w:pStyle w:val="Compact"/>
            </w:pPr>
            <w:r>
              <w:t xml:space="preserve">ARPOB</w:t>
            </w:r>
          </w:p>
        </w:tc>
        <w:tc>
          <w:tcPr/>
          <w:p>
            <w:pPr>
              <w:pStyle w:val="Compact"/>
            </w:pPr>
            <w:r>
              <w:t xml:space="preserve">Sustained growth led by mix, not just tariff</w:t>
            </w:r>
          </w:p>
        </w:tc>
        <w:tc>
          <w:tcPr/>
          <w:p>
            <w:pPr>
              <w:pStyle w:val="Compact"/>
            </w:pPr>
            <w:r>
              <w:t xml:space="preserve">ARPOB slows meaningfully as institutional mix rises</w:t>
            </w:r>
          </w:p>
        </w:tc>
        <w:tc>
          <w:tcPr/>
          <w:p>
            <w:pPr>
              <w:pStyle w:val="Compact"/>
            </w:pPr>
            <w:r>
              <w:t xml:space="preserve">Structural reimbursement pressure cuts monetisation</w:t>
            </w:r>
          </w:p>
        </w:tc>
      </w:tr>
      <w:tr>
        <w:tc>
          <w:tcPr/>
          <w:p>
            <w:pPr>
              <w:pStyle w:val="Compact"/>
            </w:pPr>
            <w:r>
              <w:t xml:space="preserve">EBITDA margin</w:t>
            </w:r>
          </w:p>
        </w:tc>
        <w:tc>
          <w:tcPr/>
          <w:p>
            <w:pPr>
              <w:pStyle w:val="Compact"/>
            </w:pPr>
            <w:r>
              <w:t xml:space="preserve">Margin recovers after upfront hiring wave</w:t>
            </w:r>
          </w:p>
        </w:tc>
        <w:tc>
          <w:tcPr/>
          <w:p>
            <w:pPr>
              <w:pStyle w:val="Compact"/>
            </w:pPr>
            <w:r>
              <w:t xml:space="preserve">Margin flat despite ramping volumes</w:t>
            </w:r>
          </w:p>
        </w:tc>
        <w:tc>
          <w:tcPr/>
          <w:p>
            <w:pPr>
              <w:pStyle w:val="Compact"/>
            </w:pPr>
            <w:r>
              <w:t xml:space="preserve">New capacity remains dilutive longer than expected</w:t>
            </w:r>
          </w:p>
        </w:tc>
      </w:tr>
      <w:tr>
        <w:tc>
          <w:tcPr/>
          <w:p>
            <w:pPr>
              <w:pStyle w:val="Compact"/>
            </w:pPr>
            <w:r>
              <w:t xml:space="preserve">DSO / cash conversion</w:t>
            </w:r>
          </w:p>
        </w:tc>
        <w:tc>
          <w:tcPr/>
          <w:p>
            <w:pPr>
              <w:pStyle w:val="Compact"/>
            </w:pPr>
            <w:r>
              <w:t xml:space="preserve">DSO stabilises or falls from FY26’s 87 days</w:t>
            </w:r>
          </w:p>
        </w:tc>
        <w:tc>
          <w:tcPr/>
          <w:p>
            <w:pPr>
              <w:pStyle w:val="Compact"/>
            </w:pPr>
            <w:r>
              <w:t xml:space="preserve">Receivables continue to stretch</w:t>
            </w:r>
          </w:p>
        </w:tc>
        <w:tc>
          <w:tcPr/>
          <w:p>
            <w:pPr>
              <w:pStyle w:val="Compact"/>
            </w:pPr>
            <w:r>
              <w:t xml:space="preserve">Earnings convert poorly to cash for multiple years</w:t>
            </w:r>
          </w:p>
        </w:tc>
      </w:tr>
      <w:tr>
        <w:tc>
          <w:tcPr/>
          <w:p>
            <w:pPr>
              <w:pStyle w:val="Compact"/>
            </w:pPr>
            <w:r>
              <w:t xml:space="preserve">International revenue</w:t>
            </w:r>
          </w:p>
        </w:tc>
        <w:tc>
          <w:tcPr/>
          <w:p>
            <w:pPr>
              <w:pStyle w:val="Compact"/>
            </w:pPr>
            <w:r>
              <w:t xml:space="preserve">Stays near or above ~9% mix with growth</w:t>
            </w:r>
          </w:p>
        </w:tc>
        <w:tc>
          <w:tcPr/>
          <w:p>
            <w:pPr>
              <w:pStyle w:val="Compact"/>
            </w:pPr>
            <w:r>
              <w:t xml:space="preserve">Mix stagnates</w:t>
            </w:r>
          </w:p>
        </w:tc>
        <w:tc>
          <w:tcPr/>
          <w:p>
            <w:pPr>
              <w:pStyle w:val="Compact"/>
            </w:pPr>
            <w:r>
              <w:t xml:space="preserve">International patient corridor weakens materially</w:t>
            </w:r>
          </w:p>
        </w:tc>
      </w:tr>
      <w:tr>
        <w:tc>
          <w:tcPr/>
          <w:p>
            <w:pPr>
              <w:pStyle w:val="Compact"/>
            </w:pPr>
            <w:r>
              <w:t xml:space="preserve">Capital allocation</w:t>
            </w:r>
          </w:p>
        </w:tc>
        <w:tc>
          <w:tcPr/>
          <w:p>
            <w:pPr>
              <w:pStyle w:val="Compact"/>
            </w:pPr>
            <w:r>
              <w:t xml:space="preserve">Capex per bed and entry prices stay disciplined</w:t>
            </w:r>
          </w:p>
        </w:tc>
        <w:tc>
          <w:tcPr/>
          <w:p>
            <w:pPr>
              <w:pStyle w:val="Compact"/>
            </w:pPr>
            <w:r>
              <w:t xml:space="preserve">Expansion announced faster than funding visibility</w:t>
            </w:r>
          </w:p>
        </w:tc>
        <w:tc>
          <w:tcPr/>
          <w:p>
            <w:pPr>
              <w:pStyle w:val="Compact"/>
            </w:pPr>
            <w:r>
              <w:t xml:space="preserve">Large acquisition at an aggressive price without ROCE line of sight</w:t>
            </w:r>
          </w:p>
        </w:tc>
      </w:tr>
      <w:tr>
        <w:tc>
          <w:tcPr/>
          <w:p>
            <w:pPr>
              <w:pStyle w:val="Compact"/>
            </w:pPr>
            <w:r>
              <w:t xml:space="preserve">Governance / legal</w:t>
            </w:r>
          </w:p>
        </w:tc>
        <w:tc>
          <w:tcPr/>
          <w:p>
            <w:pPr>
              <w:pStyle w:val="Compact"/>
            </w:pPr>
            <w:r>
              <w:t xml:space="preserve">No new material land, trust or tariff disputes</w:t>
            </w:r>
          </w:p>
        </w:tc>
        <w:tc>
          <w:tcPr/>
          <w:p>
            <w:pPr>
              <w:pStyle w:val="Compact"/>
            </w:pPr>
            <w:r>
              <w:t xml:space="preserve">Contingent liabilities rise but stay manageable</w:t>
            </w:r>
          </w:p>
        </w:tc>
        <w:tc>
          <w:tcPr/>
          <w:p>
            <w:pPr>
              <w:pStyle w:val="Compact"/>
            </w:pPr>
            <w:r>
              <w:t xml:space="preserve">Any adverse finding that threatens operating rights or trust arrangements</w:t>
            </w:r>
          </w:p>
        </w:tc>
      </w:tr>
      <w:tr>
        <w:tc>
          <w:tcPr/>
          <w:p>
            <w:pPr>
              <w:pStyle w:val="Compact"/>
            </w:pPr>
            <w:r>
              <w:t xml:space="preserve">Valuation discipline</w:t>
            </w:r>
          </w:p>
        </w:tc>
        <w:tc>
          <w:tcPr/>
          <w:p>
            <w:pPr>
              <w:pStyle w:val="Compact"/>
            </w:pPr>
            <w:r>
              <w:t xml:space="preserve">Share price de-rates faster than fundamentals</w:t>
            </w:r>
          </w:p>
        </w:tc>
        <w:tc>
          <w:tcPr/>
          <w:p>
            <w:pPr>
              <w:pStyle w:val="Compact"/>
            </w:pPr>
            <w:r>
              <w:t xml:space="preserve">Stock holds premium despite weaker execution</w:t>
            </w:r>
          </w:p>
        </w:tc>
        <w:tc>
          <w:tcPr/>
          <w:p>
            <w:pPr>
              <w:pStyle w:val="Compact"/>
            </w:pPr>
            <w:r>
              <w:t xml:space="preserve">Committee buys too early into a premium multiple</w:t>
            </w:r>
          </w:p>
        </w:tc>
      </w:tr>
    </w:tbl>
    <w:p>
      <w:pPr>
        <w:pStyle w:val="BodyText"/>
      </w:pPr>
      <w:r>
        <w:t xml:space="preserve">The three facts most likely to invalidate the wait-and-watch thesis would be:</w:t>
      </w:r>
      <w:r>
        <w:br/>
      </w:r>
      <w:r>
        <w:rPr>
          <w:b/>
          <w:bCs/>
        </w:rPr>
        <w:t xml:space="preserve">first</w:t>
      </w:r>
      <w:r>
        <w:t xml:space="preserve">, faster-than-expected occupancy and margin ramp at Smart Saket, Nanavati and Gurugram;</w:t>
      </w:r>
      <w:r>
        <w:br/>
      </w:r>
      <w:r>
        <w:rPr>
          <w:b/>
          <w:bCs/>
        </w:rPr>
        <w:t xml:space="preserve">second</w:t>
      </w:r>
      <w:r>
        <w:t xml:space="preserve">, project-level proof that new beds can still earn 20%+ ROCE within a pragmatic time frame;</w:t>
      </w:r>
      <w:r>
        <w:br/>
      </w:r>
      <w:r>
        <w:rPr>
          <w:b/>
          <w:bCs/>
        </w:rPr>
        <w:t xml:space="preserve">third</w:t>
      </w:r>
      <w:r>
        <w:t xml:space="preserve">, a material share-price correction without any deterioration in the operating thesis.</w:t>
      </w:r>
      <w:r>
        <w:t xml:space="preserve"> </w:t>
      </w:r>
      <w:hyperlink r:id="rId22">
        <w:r>
          <w:rPr>
            <w:rStyle w:val="Hyperlink"/>
          </w:rPr>
          <w:t xml:space="preserve">[50]</w:t>
        </w:r>
      </w:hyperlink>
    </w:p>
    <w:bookmarkEnd w:id="40"/>
    <w:bookmarkStart w:id="45" w:name="source-appendix"/>
    <w:p>
      <w:pPr>
        <w:pStyle w:val="Heading2"/>
      </w:pPr>
      <w:r>
        <w:t xml:space="preserve">Source appendix</w:t>
      </w:r>
    </w:p>
    <w:p>
      <w:pPr>
        <w:pStyle w:val="FirstParagraph"/>
      </w:pPr>
      <w:r>
        <w:t xml:space="preserve">The report relies primarily on company filings, audited financial statements, exchange disclosures, company investor materials, rating reports and public-policy / industry documents. Key sources used are listed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Date</w:t>
            </w:r>
          </w:p>
        </w:tc>
        <w:tc>
          <w:tcPr/>
          <w:p>
            <w:pPr>
              <w:pStyle w:val="Compact"/>
            </w:pPr>
            <w:r>
              <w:t xml:space="preserve">Use in memo</w:t>
            </w:r>
          </w:p>
        </w:tc>
      </w:tr>
      <w:tr>
        <w:tc>
          <w:tcPr/>
          <w:p>
            <w:pPr>
              <w:pStyle w:val="Compact"/>
            </w:pPr>
            <w:r>
              <w:t xml:space="preserve">Max Healthcare investor relations page</w:t>
            </w:r>
          </w:p>
        </w:tc>
        <w:tc>
          <w:tcPr/>
          <w:p>
            <w:pPr>
              <w:pStyle w:val="Compact"/>
            </w:pPr>
            <w:r>
              <w:t xml:space="preserve">current page crawl</w:t>
            </w:r>
          </w:p>
        </w:tc>
        <w:tc>
          <w:tcPr/>
          <w:p>
            <w:pPr>
              <w:pStyle w:val="Compact"/>
            </w:pPr>
            <w:r>
              <w:t xml:space="preserve">company structure, facilities summary, business history</w:t>
            </w:r>
            <w:r>
              <w:t xml:space="preserve"> </w:t>
            </w:r>
            <w:hyperlink r:id="rId27">
              <w:r>
                <w:rPr>
                  <w:rStyle w:val="Hyperlink"/>
                </w:rPr>
                <w:t xml:space="preserve">[51]</w:t>
              </w:r>
            </w:hyperlink>
          </w:p>
        </w:tc>
      </w:tr>
      <w:tr>
        <w:tc>
          <w:tcPr/>
          <w:p>
            <w:pPr>
              <w:pStyle w:val="Compact"/>
            </w:pPr>
            <w:r>
              <w:t xml:space="preserve">Shareholding Pattern of the Company as on June 30, 2026</w:t>
            </w:r>
          </w:p>
        </w:tc>
        <w:tc>
          <w:tcPr/>
          <w:p>
            <w:pPr>
              <w:pStyle w:val="Compact"/>
            </w:pPr>
            <w:r>
              <w:t xml:space="preserve">30 Jun 2026</w:t>
            </w:r>
          </w:p>
        </w:tc>
        <w:tc>
          <w:tcPr/>
          <w:p>
            <w:pPr>
              <w:pStyle w:val="Compact"/>
            </w:pPr>
            <w:r>
              <w:t xml:space="preserve">ownership, shares outstanding, pledge status, promoter notes</w:t>
            </w:r>
            <w:r>
              <w:t xml:space="preserve"> </w:t>
            </w:r>
            <w:hyperlink r:id="rId28">
              <w:r>
                <w:rPr>
                  <w:rStyle w:val="Hyperlink"/>
                </w:rPr>
                <w:t xml:space="preserve">[52]</w:t>
              </w:r>
            </w:hyperlink>
          </w:p>
        </w:tc>
      </w:tr>
      <w:tr>
        <w:tc>
          <w:tcPr/>
          <w:p>
            <w:pPr>
              <w:pStyle w:val="Compact"/>
            </w:pPr>
            <w:r>
              <w:t xml:space="preserve">FY26 Q4 / annual Earnings Update presentation</w:t>
            </w:r>
          </w:p>
        </w:tc>
        <w:tc>
          <w:tcPr/>
          <w:p>
            <w:pPr>
              <w:pStyle w:val="Compact"/>
            </w:pPr>
            <w:r>
              <w:t xml:space="preserve">21 May 2026</w:t>
            </w:r>
          </w:p>
        </w:tc>
        <w:tc>
          <w:tcPr/>
          <w:p>
            <w:pPr>
              <w:pStyle w:val="Compact"/>
            </w:pPr>
            <w:r>
              <w:t xml:space="preserve">operating metrics, P&amp;L, project updates, payor mix, revenue by state, clinical volumes, balance sheet</w:t>
            </w:r>
            <w:r>
              <w:t xml:space="preserve"> </w:t>
            </w:r>
            <w:hyperlink r:id="rId22">
              <w:r>
                <w:rPr>
                  <w:rStyle w:val="Hyperlink"/>
                </w:rPr>
                <w:t xml:space="preserve">[53]</w:t>
              </w:r>
            </w:hyperlink>
          </w:p>
        </w:tc>
      </w:tr>
      <w:tr>
        <w:tc>
          <w:tcPr/>
          <w:p>
            <w:pPr>
              <w:pStyle w:val="Compact"/>
            </w:pPr>
            <w:r>
              <w:t xml:space="preserve">Investor Presentation</w:t>
            </w:r>
          </w:p>
        </w:tc>
        <w:tc>
          <w:tcPr/>
          <w:p>
            <w:pPr>
              <w:pStyle w:val="Compact"/>
            </w:pPr>
            <w:r>
              <w:t xml:space="preserve">26 May 2026</w:t>
            </w:r>
          </w:p>
        </w:tc>
        <w:tc>
          <w:tcPr/>
          <w:p>
            <w:pPr>
              <w:pStyle w:val="Compact"/>
            </w:pPr>
            <w:r>
              <w:t xml:space="preserve">peer positioning, metro concentration, strategy, facility map, board/management summary</w:t>
            </w:r>
            <w:r>
              <w:t xml:space="preserve"> </w:t>
            </w:r>
            <w:hyperlink r:id="rId23">
              <w:r>
                <w:rPr>
                  <w:rStyle w:val="Hyperlink"/>
                </w:rPr>
                <w:t xml:space="preserve">[54]</w:t>
              </w:r>
            </w:hyperlink>
          </w:p>
        </w:tc>
      </w:tr>
      <w:tr>
        <w:tc>
          <w:tcPr/>
          <w:p>
            <w:pPr>
              <w:pStyle w:val="Compact"/>
            </w:pPr>
            <w:r>
              <w:t xml:space="preserve">FY26 Consolidated Financial Statements</w:t>
            </w:r>
          </w:p>
        </w:tc>
        <w:tc>
          <w:tcPr/>
          <w:p>
            <w:pPr>
              <w:pStyle w:val="Compact"/>
            </w:pPr>
            <w:r>
              <w:t xml:space="preserve">21 May 2026</w:t>
            </w:r>
          </w:p>
        </w:tc>
        <w:tc>
          <w:tcPr/>
          <w:p>
            <w:pPr>
              <w:pStyle w:val="Compact"/>
            </w:pPr>
            <w:r>
              <w:t xml:space="preserve">borrowings, leases, contingent liabilities, commitments, auditor, EPS, cash/bank balances</w:t>
            </w:r>
            <w:r>
              <w:t xml:space="preserve"> </w:t>
            </w:r>
            <w:hyperlink r:id="rId36">
              <w:r>
                <w:rPr>
                  <w:rStyle w:val="Hyperlink"/>
                </w:rPr>
                <w:t xml:space="preserve">[55]</w:t>
              </w:r>
            </w:hyperlink>
          </w:p>
        </w:tc>
      </w:tr>
      <w:tr>
        <w:tc>
          <w:tcPr/>
          <w:p>
            <w:pPr>
              <w:pStyle w:val="Compact"/>
            </w:pPr>
            <w:r>
              <w:t xml:space="preserve">CARE Ratings rationale on Max Healthcare</w:t>
            </w:r>
          </w:p>
        </w:tc>
        <w:tc>
          <w:tcPr/>
          <w:p>
            <w:pPr>
              <w:pStyle w:val="Compact"/>
            </w:pPr>
            <w:r>
              <w:t xml:space="preserve">3 Oct 2024 and 10 Oct 2025</w:t>
            </w:r>
          </w:p>
        </w:tc>
        <w:tc>
          <w:tcPr/>
          <w:p>
            <w:pPr>
              <w:pStyle w:val="Compact"/>
            </w:pPr>
            <w:r>
              <w:t xml:space="preserve">acquisition values, leverage context, rated debt, subsidiary / O&amp;M structure</w:t>
            </w:r>
            <w:r>
              <w:t xml:space="preserve"> </w:t>
            </w:r>
            <w:hyperlink r:id="rId34">
              <w:r>
                <w:rPr>
                  <w:rStyle w:val="Hyperlink"/>
                </w:rPr>
                <w:t xml:space="preserve">[56]</w:t>
              </w:r>
            </w:hyperlink>
          </w:p>
        </w:tc>
      </w:tr>
      <w:tr>
        <w:tc>
          <w:tcPr/>
          <w:p>
            <w:pPr>
              <w:pStyle w:val="Compact"/>
            </w:pPr>
            <w:r>
              <w:t xml:space="preserve">Board of Directors page</w:t>
            </w:r>
          </w:p>
        </w:tc>
        <w:tc>
          <w:tcPr/>
          <w:p>
            <w:pPr>
              <w:pStyle w:val="Compact"/>
            </w:pPr>
            <w:r>
              <w:t xml:space="preserve">current page crawl</w:t>
            </w:r>
          </w:p>
        </w:tc>
        <w:tc>
          <w:tcPr/>
          <w:p>
            <w:pPr>
              <w:pStyle w:val="Compact"/>
            </w:pPr>
            <w:r>
              <w:t xml:space="preserve">board composition and independence mix</w:t>
            </w:r>
            <w:r>
              <w:t xml:space="preserve"> </w:t>
            </w:r>
            <w:hyperlink r:id="rId35">
              <w:r>
                <w:rPr>
                  <w:rStyle w:val="Hyperlink"/>
                </w:rPr>
                <w:t xml:space="preserve">[57]</w:t>
              </w:r>
            </w:hyperlink>
          </w:p>
        </w:tc>
      </w:tr>
      <w:tr>
        <w:tc>
          <w:tcPr/>
          <w:p>
            <w:pPr>
              <w:pStyle w:val="Compact"/>
            </w:pPr>
            <w:r>
              <w:t xml:space="preserve">IRDAI Annual Report 2024-25</w:t>
            </w:r>
          </w:p>
        </w:tc>
        <w:tc>
          <w:tcPr/>
          <w:p>
            <w:pPr>
              <w:pStyle w:val="Compact"/>
            </w:pPr>
            <w:r>
              <w:t xml:space="preserve">published 28 Feb 2025</w:t>
            </w:r>
          </w:p>
        </w:tc>
        <w:tc>
          <w:tcPr/>
          <w:p>
            <w:pPr>
              <w:pStyle w:val="Compact"/>
            </w:pPr>
            <w:r>
              <w:t xml:space="preserve">health insurance premium growth</w:t>
            </w:r>
            <w:r>
              <w:t xml:space="preserve"> </w:t>
            </w:r>
            <w:hyperlink r:id="rId31">
              <w:r>
                <w:rPr>
                  <w:rStyle w:val="Hyperlink"/>
                </w:rPr>
                <w:t xml:space="preserve">[58]</w:t>
              </w:r>
            </w:hyperlink>
          </w:p>
        </w:tc>
      </w:tr>
      <w:tr>
        <w:tc>
          <w:tcPr/>
          <w:p>
            <w:pPr>
              <w:pStyle w:val="Compact"/>
            </w:pPr>
            <w:r>
              <w:t xml:space="preserve">PIB on healthcare infrastructure</w:t>
            </w:r>
          </w:p>
        </w:tc>
        <w:tc>
          <w:tcPr/>
          <w:p>
            <w:pPr>
              <w:pStyle w:val="Compact"/>
            </w:pPr>
            <w:r>
              <w:t xml:space="preserve">3 Dec 2024</w:t>
            </w:r>
          </w:p>
        </w:tc>
        <w:tc>
          <w:tcPr/>
          <w:p>
            <w:pPr>
              <w:pStyle w:val="Compact"/>
            </w:pPr>
            <w:r>
              <w:t xml:space="preserve">national bed target and public beds context</w:t>
            </w:r>
            <w:r>
              <w:t xml:space="preserve"> </w:t>
            </w:r>
            <w:hyperlink r:id="rId41">
              <w:r>
                <w:rPr>
                  <w:rStyle w:val="Hyperlink"/>
                </w:rPr>
                <w:t xml:space="preserve">[59]</w:t>
              </w:r>
            </w:hyperlink>
          </w:p>
        </w:tc>
      </w:tr>
      <w:tr>
        <w:tc>
          <w:tcPr/>
          <w:p>
            <w:pPr>
              <w:pStyle w:val="Compact"/>
            </w:pPr>
            <w:r>
              <w:t xml:space="preserve">World Bank hospital beds per 1,000 people page for India</w:t>
            </w:r>
          </w:p>
        </w:tc>
        <w:tc>
          <w:tcPr/>
          <w:p>
            <w:pPr>
              <w:pStyle w:val="Compact"/>
            </w:pPr>
            <w:r>
              <w:t xml:space="preserve">current page crawl</w:t>
            </w:r>
          </w:p>
        </w:tc>
        <w:tc>
          <w:tcPr/>
          <w:p>
            <w:pPr>
              <w:pStyle w:val="Compact"/>
            </w:pPr>
            <w:r>
              <w:t xml:space="preserve">India bed density context</w:t>
            </w:r>
            <w:r>
              <w:t xml:space="preserve"> </w:t>
            </w:r>
            <w:hyperlink r:id="rId30">
              <w:r>
                <w:rPr>
                  <w:rStyle w:val="Hyperlink"/>
                </w:rPr>
                <w:t xml:space="preserve">[60]</w:t>
              </w:r>
            </w:hyperlink>
          </w:p>
        </w:tc>
      </w:tr>
      <w:tr>
        <w:tc>
          <w:tcPr/>
          <w:p>
            <w:pPr>
              <w:pStyle w:val="Compact"/>
            </w:pPr>
            <w:r>
              <w:t xml:space="preserve">PIB on health workforce availability</w:t>
            </w:r>
          </w:p>
        </w:tc>
        <w:tc>
          <w:tcPr/>
          <w:p>
            <w:pPr>
              <w:pStyle w:val="Compact"/>
            </w:pPr>
            <w:r>
              <w:t xml:space="preserve">10 Feb 2026 and 2 Dec 2025</w:t>
            </w:r>
          </w:p>
        </w:tc>
        <w:tc>
          <w:tcPr/>
          <w:p>
            <w:pPr>
              <w:pStyle w:val="Compact"/>
            </w:pPr>
            <w:r>
              <w:t xml:space="preserve">doctors, nurses and doctor-population ratio</w:t>
            </w:r>
            <w:r>
              <w:t xml:space="preserve"> </w:t>
            </w:r>
            <w:hyperlink r:id="rId42">
              <w:r>
                <w:rPr>
                  <w:rStyle w:val="Hyperlink"/>
                </w:rPr>
                <w:t xml:space="preserve">[61]</w:t>
              </w:r>
            </w:hyperlink>
          </w:p>
        </w:tc>
      </w:tr>
      <w:tr>
        <w:tc>
          <w:tcPr/>
          <w:p>
            <w:pPr>
              <w:pStyle w:val="Compact"/>
            </w:pPr>
            <w:r>
              <w:t xml:space="preserve">ICRA hospital industry outlook / sector update</w:t>
            </w:r>
          </w:p>
        </w:tc>
        <w:tc>
          <w:tcPr/>
          <w:p>
            <w:pPr>
              <w:pStyle w:val="Compact"/>
            </w:pPr>
            <w:r>
              <w:t xml:space="preserve">31 Jul 2025; Dec 2025/Jun 2026 update page</w:t>
            </w:r>
          </w:p>
        </w:tc>
        <w:tc>
          <w:tcPr/>
          <w:p>
            <w:pPr>
              <w:pStyle w:val="Compact"/>
            </w:pPr>
            <w:r>
              <w:t xml:space="preserve">sector revenue, occupancy and ARPOB outlook</w:t>
            </w:r>
            <w:r>
              <w:t xml:space="preserve"> </w:t>
            </w:r>
            <w:hyperlink r:id="rId32">
              <w:r>
                <w:rPr>
                  <w:rStyle w:val="Hyperlink"/>
                </w:rPr>
                <w:t xml:space="preserve">[62]</w:t>
              </w:r>
            </w:hyperlink>
          </w:p>
        </w:tc>
      </w:tr>
      <w:tr>
        <w:tc>
          <w:tcPr/>
          <w:p>
            <w:pPr>
              <w:pStyle w:val="Compact"/>
            </w:pPr>
            <w:r>
              <w:t xml:space="preserve">Reuters on NHCX / insurance oversight</w:t>
            </w:r>
          </w:p>
        </w:tc>
        <w:tc>
          <w:tcPr/>
          <w:p>
            <w:pPr>
              <w:pStyle w:val="Compact"/>
            </w:pPr>
            <w:r>
              <w:t xml:space="preserve">10 Jul 2025</w:t>
            </w:r>
          </w:p>
        </w:tc>
        <w:tc>
          <w:tcPr/>
          <w:p>
            <w:pPr>
              <w:pStyle w:val="Compact"/>
            </w:pPr>
            <w:r>
              <w:t xml:space="preserve">regulatory risk to hospital pricing and cashless economics</w:t>
            </w:r>
            <w:r>
              <w:t xml:space="preserve"> </w:t>
            </w:r>
            <w:hyperlink r:id="rId43">
              <w:r>
                <w:rPr>
                  <w:rStyle w:val="Hyperlink"/>
                </w:rPr>
                <w:t xml:space="preserve">[63]</w:t>
              </w:r>
            </w:hyperlink>
          </w:p>
        </w:tc>
      </w:tr>
      <w:tr>
        <w:tc>
          <w:tcPr/>
          <w:p>
            <w:pPr>
              <w:pStyle w:val="Compact"/>
            </w:pPr>
            <w:r>
              <w:t xml:space="preserve">Reuters on Nifty 50 inclusion</w:t>
            </w:r>
          </w:p>
        </w:tc>
        <w:tc>
          <w:tcPr/>
          <w:p>
            <w:pPr>
              <w:pStyle w:val="Compact"/>
            </w:pPr>
            <w:r>
              <w:t xml:space="preserve">22 Aug 2025</w:t>
            </w:r>
          </w:p>
        </w:tc>
        <w:tc>
          <w:tcPr/>
          <w:p>
            <w:pPr>
              <w:pStyle w:val="Compact"/>
            </w:pPr>
            <w:r>
              <w:t xml:space="preserve">ownership and technical catalyst context</w:t>
            </w:r>
            <w:r>
              <w:t xml:space="preserve"> </w:t>
            </w:r>
            <w:hyperlink r:id="rId44">
              <w:r>
                <w:rPr>
                  <w:rStyle w:val="Hyperlink"/>
                </w:rPr>
                <w:t xml:space="preserve">[64]</w:t>
              </w:r>
            </w:hyperlink>
          </w:p>
        </w:tc>
      </w:tr>
      <w:tr>
        <w:tc>
          <w:tcPr/>
          <w:p>
            <w:pPr>
              <w:pStyle w:val="Compact"/>
            </w:pPr>
            <w:r>
              <w:t xml:space="preserve">Secondary broker note from Prabhudas Lilladher</w:t>
            </w:r>
          </w:p>
        </w:tc>
        <w:tc>
          <w:tcPr/>
          <w:p>
            <w:pPr>
              <w:pStyle w:val="Compact"/>
            </w:pPr>
            <w:r>
              <w:t xml:space="preserve">9 Feb 2026</w:t>
            </w:r>
          </w:p>
        </w:tc>
        <w:tc>
          <w:tcPr/>
          <w:p>
            <w:pPr>
              <w:pStyle w:val="Compact"/>
            </w:pPr>
            <w:r>
              <w:t xml:space="preserve">visible market expectation benchmark only; not used as primary evidence</w:t>
            </w:r>
            <w:r>
              <w:t xml:space="preserve"> </w:t>
            </w:r>
            <w:hyperlink r:id="rId38">
              <w:r>
                <w:rPr>
                  <w:rStyle w:val="Hyperlink"/>
                </w:rPr>
                <w:t xml:space="preserve">[46]</w:t>
              </w:r>
            </w:hyperlink>
          </w:p>
        </w:tc>
      </w:tr>
    </w:tbl>
    <w:p>
      <w:pPr>
        <w:pStyle w:val="BodyText"/>
      </w:pPr>
      <w:r>
        <w:rPr>
          <w:b/>
          <w:bCs/>
        </w:rPr>
        <w:t xml:space="preserve">Bottom line:</w:t>
      </w:r>
      <w:r>
        <w:t xml:space="preserve"> </w:t>
      </w:r>
      <w:r>
        <w:t xml:space="preserve">Max Healthcare is a business worth tracking closely and, at the right entry valuation, worth owning. At</w:t>
      </w:r>
      <w:r>
        <w:t xml:space="preserve"> </w:t>
      </w:r>
      <w:r>
        <w:rPr>
          <w:b/>
          <w:bCs/>
        </w:rPr>
        <w:t xml:space="preserve">₹1,081</w:t>
      </w:r>
      <w:r>
        <w:t xml:space="preserve">, I would</w:t>
      </w:r>
      <w:r>
        <w:t xml:space="preserve"> </w:t>
      </w:r>
      <w:r>
        <w:rPr>
          <w:b/>
          <w:bCs/>
        </w:rPr>
        <w:t xml:space="preserve">wait</w:t>
      </w:r>
      <w:r>
        <w:t xml:space="preserve">. The business merits respect; the stock does not currently offer enough margin of safety for a substantial minority investment.</w:t>
      </w:r>
    </w:p>
    <w:bookmarkEnd w:id="45"/>
    <w:bookmarkEnd w:id="46"/>
    <w:bookmarkEnd w:id="47"/>
    <w:p>
      <w:r>
        <w:pict>
          <v:rect style="width:0;height:1.5pt" o:hralign="center" o:hrstd="t" o:hr="t"/>
        </w:pict>
      </w:r>
    </w:p>
    <w:bookmarkStart w:id="4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[11]</w:t>
        </w:r>
      </w:hyperlink>
      <w:r>
        <w:t xml:space="preserve"> </w:t>
      </w:r>
      <w:hyperlink r:id="rId21">
        <w:r>
          <w:rPr>
            <w:rStyle w:val="Hyperlink"/>
          </w:rPr>
          <w:t xml:space="preserve">[42]</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r>
        <w:t xml:space="preserve">https://www.etmoney.com/stocks/max-healthcare-institute-ltd/shareholding/2624</w:t>
      </w:r>
    </w:p>
    <w:p>
      <w:pPr>
        <w:pStyle w:val="BodyText"/>
      </w:pPr>
      <w:hyperlink r:id="rId21">
        <w:r>
          <w:rPr>
            <w:rStyle w:val="Hyperlink"/>
          </w:rPr>
          <w:t xml:space="preserve">https://www.etmoney.com/stocks/max-healthcare-institute-ltd/shareholding/2624</w:t>
        </w:r>
      </w:hyperlink>
    </w:p>
    <w:p>
      <w:pPr>
        <w:pStyle w:val="BodyText"/>
      </w:pPr>
      <w:hyperlink r:id="rId22">
        <w:r>
          <w:rPr>
            <w:rStyle w:val="Hyperlink"/>
          </w:rPr>
          <w:t xml:space="preserve">[3]</w:t>
        </w:r>
      </w:hyperlink>
      <w:r>
        <w:t xml:space="preserve"> </w:t>
      </w:r>
      <w:hyperlink r:id="rId22">
        <w:r>
          <w:rPr>
            <w:rStyle w:val="Hyperlink"/>
          </w:rPr>
          <w:t xml:space="preserve">[6]</w:t>
        </w:r>
      </w:hyperlink>
      <w:r>
        <w:t xml:space="preserve"> </w:t>
      </w:r>
      <w:hyperlink r:id="rId22">
        <w:r>
          <w:rPr>
            <w:rStyle w:val="Hyperlink"/>
          </w:rPr>
          <w:t xml:space="preserve">[7]</w:t>
        </w:r>
      </w:hyperlink>
      <w:r>
        <w:t xml:space="preserve"> </w:t>
      </w:r>
      <w:hyperlink r:id="rId22">
        <w:r>
          <w:rPr>
            <w:rStyle w:val="Hyperlink"/>
          </w:rPr>
          <w:t xml:space="preserve">[10]</w:t>
        </w:r>
      </w:hyperlink>
      <w:r>
        <w:t xml:space="preserve"> </w:t>
      </w:r>
      <w:hyperlink r:id="rId22">
        <w:r>
          <w:rPr>
            <w:rStyle w:val="Hyperlink"/>
          </w:rPr>
          <w:t xml:space="preserve">[13]</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[25]</w:t>
        </w:r>
      </w:hyperlink>
      <w:r>
        <w:t xml:space="preserve"> </w:t>
      </w:r>
      <w:hyperlink r:id="rId22">
        <w:r>
          <w:rPr>
            <w:rStyle w:val="Hyperlink"/>
          </w:rPr>
          <w:t xml:space="preserve">[27]</w:t>
        </w:r>
      </w:hyperlink>
      <w:r>
        <w:t xml:space="preserve"> </w:t>
      </w:r>
      <w:hyperlink r:id="rId22">
        <w:r>
          <w:rPr>
            <w:rStyle w:val="Hyperlink"/>
          </w:rPr>
          <w:t xml:space="preserve">[30]</w:t>
        </w:r>
      </w:hyperlink>
      <w:r>
        <w:t xml:space="preserve"> </w:t>
      </w:r>
      <w:hyperlink r:id="rId22">
        <w:r>
          <w:rPr>
            <w:rStyle w:val="Hyperlink"/>
          </w:rPr>
          <w:t xml:space="preserve">[33]</w:t>
        </w:r>
      </w:hyperlink>
      <w:r>
        <w:t xml:space="preserve"> </w:t>
      </w:r>
      <w:hyperlink r:id="rId22">
        <w:r>
          <w:rPr>
            <w:rStyle w:val="Hyperlink"/>
          </w:rPr>
          <w:t xml:space="preserve">[36]</w:t>
        </w:r>
      </w:hyperlink>
      <w:r>
        <w:t xml:space="preserve"> </w:t>
      </w:r>
      <w:hyperlink r:id="rId22">
        <w:r>
          <w:rPr>
            <w:rStyle w:val="Hyperlink"/>
          </w:rPr>
          <w:t xml:space="preserve">[37]</w:t>
        </w:r>
      </w:hyperlink>
      <w:r>
        <w:t xml:space="preserve"> </w:t>
      </w:r>
      <w:hyperlink r:id="rId22">
        <w:r>
          <w:rPr>
            <w:rStyle w:val="Hyperlink"/>
          </w:rPr>
          <w:t xml:space="preserve">[38]</w:t>
        </w:r>
      </w:hyperlink>
      <w:r>
        <w:t xml:space="preserve"> </w:t>
      </w:r>
      <w:hyperlink r:id="rId22">
        <w:r>
          <w:rPr>
            <w:rStyle w:val="Hyperlink"/>
          </w:rPr>
          <w:t xml:space="preserve">[39]</w:t>
        </w:r>
      </w:hyperlink>
      <w:r>
        <w:t xml:space="preserve"> </w:t>
      </w:r>
      <w:hyperlink r:id="rId22">
        <w:r>
          <w:rPr>
            <w:rStyle w:val="Hyperlink"/>
          </w:rPr>
          <w:t xml:space="preserve">[40]</w:t>
        </w:r>
      </w:hyperlink>
      <w:r>
        <w:t xml:space="preserve"> </w:t>
      </w:r>
      <w:hyperlink r:id="rId22">
        <w:r>
          <w:rPr>
            <w:rStyle w:val="Hyperlink"/>
          </w:rPr>
          <w:t xml:space="preserve">[41]</w:t>
        </w:r>
      </w:hyperlink>
      <w:r>
        <w:t xml:space="preserve"> </w:t>
      </w:r>
      <w:hyperlink r:id="rId22">
        <w:r>
          <w:rPr>
            <w:rStyle w:val="Hyperlink"/>
          </w:rPr>
          <w:t xml:space="preserve">[43]</w:t>
        </w:r>
      </w:hyperlink>
      <w:r>
        <w:t xml:space="preserve"> </w:t>
      </w:r>
      <w:hyperlink r:id="rId22">
        <w:r>
          <w:rPr>
            <w:rStyle w:val="Hyperlink"/>
          </w:rPr>
          <w:t xml:space="preserve">[45]</w:t>
        </w:r>
      </w:hyperlink>
      <w:r>
        <w:t xml:space="preserve"> </w:t>
      </w:r>
      <w:hyperlink r:id="rId22">
        <w:r>
          <w:rPr>
            <w:rStyle w:val="Hyperlink"/>
          </w:rPr>
          <w:t xml:space="preserve">[47]</w:t>
        </w:r>
      </w:hyperlink>
      <w:r>
        <w:t xml:space="preserve"> </w:t>
      </w:r>
      <w:hyperlink r:id="rId22">
        <w:r>
          <w:rPr>
            <w:rStyle w:val="Hyperlink"/>
          </w:rPr>
          <w:t xml:space="preserve">[50]</w:t>
        </w:r>
      </w:hyperlink>
      <w:r>
        <w:t xml:space="preserve"> </w:t>
      </w:r>
      <w:hyperlink r:id="rId22">
        <w:r>
          <w:rPr>
            <w:rStyle w:val="Hyperlink"/>
          </w:rPr>
          <w:t xml:space="preserve">[53]</w:t>
        </w:r>
      </w:hyperlink>
      <w:r>
        <w:t xml:space="preserve"> </w:t>
      </w:r>
      <w:r>
        <w:t xml:space="preserve">https://max-website20-images.s3.ap-south-1.amazonaws.com/SE_Intimation_Reg_30_LODR_Earnings_Update_21_05_2026_ed3cd6e592.pdf</w:t>
      </w:r>
    </w:p>
    <w:p>
      <w:pPr>
        <w:pStyle w:val="BodyText"/>
      </w:pPr>
      <w:hyperlink r:id="rId22">
        <w:r>
          <w:rPr>
            <w:rStyle w:val="Hyperlink"/>
          </w:rPr>
          <w:t xml:space="preserve">https://max-website20-images.s3.ap-south-1.amazonaws.com/SE_Intimation_Reg_30_LODR_Earnings_Update_21_05_2026_ed3cd6e592.pdf</w:t>
        </w:r>
      </w:hyperlink>
    </w:p>
    <w:p>
      <w:pPr>
        <w:pStyle w:val="BodyText"/>
      </w:pPr>
      <w:hyperlink r:id="rId23">
        <w:r>
          <w:rPr>
            <w:rStyle w:val="Hyperlink"/>
          </w:rPr>
          <w:t xml:space="preserve">[5]</w:t>
        </w:r>
      </w:hyperlink>
      <w:r>
        <w:t xml:space="preserve"> </w:t>
      </w:r>
      <w:hyperlink r:id="rId23">
        <w:r>
          <w:rPr>
            <w:rStyle w:val="Hyperlink"/>
          </w:rPr>
          <w:t xml:space="preserve">[8]</w:t>
        </w:r>
      </w:hyperlink>
      <w:r>
        <w:t xml:space="preserve"> </w:t>
      </w:r>
      <w:hyperlink r:id="rId23">
        <w:r>
          <w:rPr>
            <w:rStyle w:val="Hyperlink"/>
          </w:rPr>
          <w:t xml:space="preserve">[9]</w:t>
        </w:r>
      </w:hyperlink>
      <w:r>
        <w:t xml:space="preserve"> </w:t>
      </w:r>
      <w:hyperlink r:id="rId23">
        <w:r>
          <w:rPr>
            <w:rStyle w:val="Hyperlink"/>
          </w:rPr>
          <w:t xml:space="preserve">[26]</w:t>
        </w:r>
      </w:hyperlink>
      <w:r>
        <w:t xml:space="preserve"> </w:t>
      </w:r>
      <w:hyperlink r:id="rId23">
        <w:r>
          <w:rPr>
            <w:rStyle w:val="Hyperlink"/>
          </w:rPr>
          <w:t xml:space="preserve">[28]</w:t>
        </w:r>
      </w:hyperlink>
      <w:r>
        <w:t xml:space="preserve"> </w:t>
      </w:r>
      <w:hyperlink r:id="rId23">
        <w:r>
          <w:rPr>
            <w:rStyle w:val="Hyperlink"/>
          </w:rPr>
          <w:t xml:space="preserve">[29]</w:t>
        </w:r>
      </w:hyperlink>
      <w:r>
        <w:t xml:space="preserve"> </w:t>
      </w:r>
      <w:hyperlink r:id="rId23">
        <w:r>
          <w:rPr>
            <w:rStyle w:val="Hyperlink"/>
          </w:rPr>
          <w:t xml:space="preserve">[31]</w:t>
        </w:r>
      </w:hyperlink>
      <w:r>
        <w:t xml:space="preserve"> </w:t>
      </w:r>
      <w:hyperlink r:id="rId23">
        <w:r>
          <w:rPr>
            <w:rStyle w:val="Hyperlink"/>
          </w:rPr>
          <w:t xml:space="preserve">[44]</w:t>
        </w:r>
      </w:hyperlink>
      <w:r>
        <w:t xml:space="preserve"> </w:t>
      </w:r>
      <w:hyperlink r:id="rId23">
        <w:r>
          <w:rPr>
            <w:rStyle w:val="Hyperlink"/>
          </w:rPr>
          <w:t xml:space="preserve">[54]</w:t>
        </w:r>
      </w:hyperlink>
      <w:r>
        <w:t xml:space="preserve"> </w:t>
      </w:r>
      <w:r>
        <w:t xml:space="preserve">https://max-website20-images.s3.ap-south-1.amazonaws.com/SE_Intimation_Reg_30_LODR_Investor_Presentation_26_05_2026_eb5552d739.pdf</w:t>
      </w:r>
    </w:p>
    <w:p>
      <w:pPr>
        <w:pStyle w:val="BodyText"/>
      </w:pPr>
      <w:hyperlink r:id="rId23">
        <w:r>
          <w:rPr>
            <w:rStyle w:val="Hyperlink"/>
          </w:rPr>
          <w:t xml:space="preserve">https://max-website20-images.s3.ap-south-1.amazonaws.com/SE_Intimation_Reg_30_LODR_Investor_Presentation_26_05_2026_eb5552d739.pdf</w:t>
        </w:r>
      </w:hyperlink>
    </w:p>
    <w:p>
      <w:pPr>
        <w:pStyle w:val="BodyText"/>
      </w:pPr>
      <w:hyperlink r:id="rId26">
        <w:r>
          <w:rPr>
            <w:rStyle w:val="Hyperlink"/>
          </w:rPr>
          <w:t xml:space="preserve">[12]</w:t>
        </w:r>
      </w:hyperlink>
      <w:r>
        <w:t xml:space="preserve"> </w:t>
      </w:r>
      <w:r>
        <w:t xml:space="preserve">https://www.maxhealthcare.in/mhil-gets-listed-on-the-stock-exchanges</w:t>
      </w:r>
    </w:p>
    <w:p>
      <w:pPr>
        <w:pStyle w:val="BodyText"/>
      </w:pPr>
      <w:hyperlink r:id="rId26">
        <w:r>
          <w:rPr>
            <w:rStyle w:val="Hyperlink"/>
          </w:rPr>
          <w:t xml:space="preserve">https://www.maxhealthcare.in/mhil-gets-listed-on-the-stock-exchanges</w:t>
        </w:r>
      </w:hyperlink>
    </w:p>
    <w:p>
      <w:pPr>
        <w:pStyle w:val="BodyText"/>
      </w:pPr>
      <w:hyperlink r:id="rId27">
        <w:r>
          <w:rPr>
            <w:rStyle w:val="Hyperlink"/>
          </w:rPr>
          <w:t xml:space="preserve">[14]</w:t>
        </w:r>
      </w:hyperlink>
      <w:r>
        <w:t xml:space="preserve"> </w:t>
      </w:r>
      <w:hyperlink r:id="rId27">
        <w:r>
          <w:rPr>
            <w:rStyle w:val="Hyperlink"/>
          </w:rPr>
          <w:t xml:space="preserve">[51]</w:t>
        </w:r>
      </w:hyperlink>
      <w:r>
        <w:t xml:space="preserve"> </w:t>
      </w:r>
      <w:r>
        <w:t xml:space="preserve">https://www.maxhealthcare.in/investors</w:t>
      </w:r>
    </w:p>
    <w:p>
      <w:pPr>
        <w:pStyle w:val="BodyText"/>
      </w:pPr>
      <w:hyperlink r:id="rId27">
        <w:r>
          <w:rPr>
            <w:rStyle w:val="Hyperlink"/>
          </w:rPr>
          <w:t xml:space="preserve">https://www.maxhealthcare.in/investors</w:t>
        </w:r>
      </w:hyperlink>
    </w:p>
    <w:p>
      <w:pPr>
        <w:pStyle w:val="BodyText"/>
      </w:pPr>
      <w:hyperlink r:id="rId28">
        <w:r>
          <w:rPr>
            <w:rStyle w:val="Hyperlink"/>
          </w:rPr>
          <w:t xml:space="preserve">[15]</w:t>
        </w:r>
      </w:hyperlink>
      <w:r>
        <w:t xml:space="preserve"> </w:t>
      </w:r>
      <w:hyperlink r:id="rId28">
        <w:r>
          <w:rPr>
            <w:rStyle w:val="Hyperlink"/>
          </w:rPr>
          <w:t xml:space="preserve">[52]</w:t>
        </w:r>
      </w:hyperlink>
      <w:r>
        <w:t xml:space="preserve"> </w:t>
      </w:r>
      <w:r>
        <w:t xml:space="preserve">https://max-website20-images.s3.ap-south-1.amazonaws.com/Shareholding_Pattern_June_2026_75d732175d.pdf</w:t>
      </w:r>
    </w:p>
    <w:p>
      <w:pPr>
        <w:pStyle w:val="BodyText"/>
      </w:pPr>
      <w:hyperlink r:id="rId28">
        <w:r>
          <w:rPr>
            <w:rStyle w:val="Hyperlink"/>
          </w:rPr>
          <w:t xml:space="preserve">https://max-website20-images.s3.ap-south-1.amazonaws.com/Shareholding_Pattern_June_2026_75d732175d.pdf</w:t>
        </w:r>
      </w:hyperlink>
    </w:p>
    <w:p>
      <w:pPr>
        <w:pStyle w:val="BodyText"/>
      </w:pPr>
      <w:hyperlink r:id="rId30">
        <w:r>
          <w:rPr>
            <w:rStyle w:val="Hyperlink"/>
          </w:rPr>
          <w:t xml:space="preserve">[22]</w:t>
        </w:r>
      </w:hyperlink>
      <w:r>
        <w:t xml:space="preserve"> </w:t>
      </w:r>
      <w:hyperlink r:id="rId30">
        <w:r>
          <w:rPr>
            <w:rStyle w:val="Hyperlink"/>
          </w:rPr>
          <w:t xml:space="preserve">[60]</w:t>
        </w:r>
      </w:hyperlink>
      <w:r>
        <w:t xml:space="preserve"> </w:t>
      </w:r>
      <w:r>
        <w:t xml:space="preserve">https://data.worldbank.org/indicator/SH.MED.BEDS.ZS?locations=IN</w:t>
      </w:r>
    </w:p>
    <w:p>
      <w:pPr>
        <w:pStyle w:val="BodyText"/>
      </w:pPr>
      <w:hyperlink r:id="rId30">
        <w:r>
          <w:rPr>
            <w:rStyle w:val="Hyperlink"/>
          </w:rPr>
          <w:t xml:space="preserve">https://data.worldbank.org/indicator/SH.MED.BEDS.ZS?locations=IN</w:t>
        </w:r>
      </w:hyperlink>
    </w:p>
    <w:p>
      <w:pPr>
        <w:pStyle w:val="BodyText"/>
      </w:pPr>
      <w:hyperlink r:id="rId31">
        <w:r>
          <w:rPr>
            <w:rStyle w:val="Hyperlink"/>
          </w:rPr>
          <w:t xml:space="preserve">[23]</w:t>
        </w:r>
      </w:hyperlink>
      <w:r>
        <w:t xml:space="preserve"> </w:t>
      </w:r>
      <w:hyperlink r:id="rId31">
        <w:r>
          <w:rPr>
            <w:rStyle w:val="Hyperlink"/>
          </w:rPr>
          <w:t xml:space="preserve">[58]</w:t>
        </w:r>
      </w:hyperlink>
      <w:r>
        <w:t xml:space="preserve"> </w:t>
      </w:r>
      <w:r>
        <w:t xml:space="preserve">https://lifeinscouncil.org/component/IRDAI%20Annual%20Report%202024-25.pdf</w:t>
      </w:r>
    </w:p>
    <w:p>
      <w:pPr>
        <w:pStyle w:val="BodyText"/>
      </w:pPr>
      <w:hyperlink r:id="rId31">
        <w:r>
          <w:rPr>
            <w:rStyle w:val="Hyperlink"/>
          </w:rPr>
          <w:t xml:space="preserve">https://lifeinscouncil.org/component/IRDAI%20Annual%20Report%202024-25.pdf</w:t>
        </w:r>
      </w:hyperlink>
    </w:p>
    <w:p>
      <w:pPr>
        <w:pStyle w:val="BodyText"/>
      </w:pPr>
      <w:hyperlink r:id="rId32">
        <w:r>
          <w:rPr>
            <w:rStyle w:val="Hyperlink"/>
          </w:rPr>
          <w:t xml:space="preserve">[24]</w:t>
        </w:r>
      </w:hyperlink>
      <w:r>
        <w:t xml:space="preserve"> </w:t>
      </w:r>
      <w:hyperlink r:id="rId32">
        <w:r>
          <w:rPr>
            <w:rStyle w:val="Hyperlink"/>
          </w:rPr>
          <w:t xml:space="preserve">[62]</w:t>
        </w:r>
      </w:hyperlink>
      <w:r>
        <w:t xml:space="preserve"> </w:t>
      </w:r>
      <w:r>
        <w:t xml:space="preserve">https://www.icra.in/Research/ViewResearchReport/6685</w:t>
      </w:r>
    </w:p>
    <w:p>
      <w:pPr>
        <w:pStyle w:val="BodyText"/>
      </w:pPr>
      <w:hyperlink r:id="rId32">
        <w:r>
          <w:rPr>
            <w:rStyle w:val="Hyperlink"/>
          </w:rPr>
          <w:t xml:space="preserve">https://www.icra.in/Research/ViewResearchReport/6685</w:t>
        </w:r>
      </w:hyperlink>
    </w:p>
    <w:p>
      <w:pPr>
        <w:pStyle w:val="BodyText"/>
      </w:pPr>
      <w:hyperlink r:id="rId34">
        <w:r>
          <w:rPr>
            <w:rStyle w:val="Hyperlink"/>
          </w:rPr>
          <w:t xml:space="preserve">[32]</w:t>
        </w:r>
      </w:hyperlink>
      <w:r>
        <w:t xml:space="preserve"> </w:t>
      </w:r>
      <w:hyperlink r:id="rId34">
        <w:r>
          <w:rPr>
            <w:rStyle w:val="Hyperlink"/>
          </w:rPr>
          <w:t xml:space="preserve">[56]</w:t>
        </w:r>
      </w:hyperlink>
      <w:r>
        <w:t xml:space="preserve"> </w:t>
      </w:r>
      <w:r>
        <w:t xml:space="preserve">https://www.careratings.com/upload/CompanyFiles/PR/202410141045_Max_Healthcare_Institute_Limited.pdf</w:t>
      </w:r>
    </w:p>
    <w:p>
      <w:pPr>
        <w:pStyle w:val="BodyText"/>
      </w:pPr>
      <w:hyperlink r:id="rId34">
        <w:r>
          <w:rPr>
            <w:rStyle w:val="Hyperlink"/>
          </w:rPr>
          <w:t xml:space="preserve">https://www.careratings.com/upload/CompanyFiles/PR/202410141045_Max_Healthcare_Institute_Limited.pdf</w:t>
        </w:r>
      </w:hyperlink>
    </w:p>
    <w:p>
      <w:pPr>
        <w:pStyle w:val="BodyText"/>
      </w:pPr>
      <w:hyperlink r:id="rId35">
        <w:r>
          <w:rPr>
            <w:rStyle w:val="Hyperlink"/>
          </w:rPr>
          <w:t xml:space="preserve">[34]</w:t>
        </w:r>
      </w:hyperlink>
      <w:r>
        <w:t xml:space="preserve"> </w:t>
      </w:r>
      <w:hyperlink r:id="rId35">
        <w:r>
          <w:rPr>
            <w:rStyle w:val="Hyperlink"/>
          </w:rPr>
          <w:t xml:space="preserve">[57]</w:t>
        </w:r>
      </w:hyperlink>
      <w:r>
        <w:t xml:space="preserve"> </w:t>
      </w:r>
      <w:r>
        <w:t xml:space="preserve">https://www.maxhealthcare.in/investors/corporategovernance/board-of-directors</w:t>
      </w:r>
    </w:p>
    <w:p>
      <w:pPr>
        <w:pStyle w:val="BodyText"/>
      </w:pPr>
      <w:hyperlink r:id="rId35">
        <w:r>
          <w:rPr>
            <w:rStyle w:val="Hyperlink"/>
          </w:rPr>
          <w:t xml:space="preserve">https://www.maxhealthcare.in/investors/corporategovernance/board-of-directors</w:t>
        </w:r>
      </w:hyperlink>
    </w:p>
    <w:p>
      <w:pPr>
        <w:pStyle w:val="BodyText"/>
      </w:pPr>
      <w:hyperlink r:id="rId36">
        <w:r>
          <w:rPr>
            <w:rStyle w:val="Hyperlink"/>
          </w:rPr>
          <w:t xml:space="preserve">[35]</w:t>
        </w:r>
      </w:hyperlink>
      <w:r>
        <w:t xml:space="preserve"> </w:t>
      </w:r>
      <w:hyperlink r:id="rId36">
        <w:r>
          <w:rPr>
            <w:rStyle w:val="Hyperlink"/>
          </w:rPr>
          <w:t xml:space="preserve">[55]</w:t>
        </w:r>
      </w:hyperlink>
      <w:r>
        <w:t xml:space="preserve"> </w:t>
      </w:r>
      <w:r>
        <w:t xml:space="preserve">https://max-website20-images.s3.ap-south-1.amazonaws.com/MHIL_Consolidated_Financials_FY_2025_26_43dd6c6f0a.pdf</w:t>
      </w:r>
    </w:p>
    <w:p>
      <w:pPr>
        <w:pStyle w:val="BodyText"/>
      </w:pPr>
      <w:hyperlink r:id="rId36">
        <w:r>
          <w:rPr>
            <w:rStyle w:val="Hyperlink"/>
          </w:rPr>
          <w:t xml:space="preserve">https://max-website20-images.s3.ap-south-1.amazonaws.com/MHIL_Consolidated_Financials_FY_2025_26_43dd6c6f0a.pdf</w:t>
        </w:r>
      </w:hyperlink>
    </w:p>
    <w:p>
      <w:pPr>
        <w:pStyle w:val="BodyText"/>
      </w:pPr>
      <w:hyperlink r:id="rId38">
        <w:r>
          <w:rPr>
            <w:rStyle w:val="Hyperlink"/>
          </w:rPr>
          <w:t xml:space="preserve">[46]</w:t>
        </w:r>
      </w:hyperlink>
      <w:r>
        <w:t xml:space="preserve"> </w:t>
      </w:r>
      <w:r>
        <w:t xml:space="preserve">https://plindia.com/ResReport/MAXHEALT-9-2-26-PL.pdf</w:t>
      </w:r>
    </w:p>
    <w:p>
      <w:pPr>
        <w:pStyle w:val="BodyText"/>
      </w:pPr>
      <w:hyperlink r:id="rId38">
        <w:r>
          <w:rPr>
            <w:rStyle w:val="Hyperlink"/>
          </w:rPr>
          <w:t xml:space="preserve">https://plindia.com/ResReport/MAXHEALT-9-2-26-PL.pdf</w:t>
        </w:r>
      </w:hyperlink>
    </w:p>
    <w:p>
      <w:pPr>
        <w:pStyle w:val="BodyText"/>
      </w:pPr>
      <w:hyperlink r:id="rId41">
        <w:r>
          <w:rPr>
            <w:rStyle w:val="Hyperlink"/>
          </w:rPr>
          <w:t xml:space="preserve">[59]</w:t>
        </w:r>
      </w:hyperlink>
      <w:r>
        <w:t xml:space="preserve"> </w:t>
      </w:r>
      <w:r>
        <w:t xml:space="preserve">https://www.pib.gov.in/PressReleasePage.aspx?PRID=2080071</w:t>
      </w:r>
    </w:p>
    <w:p>
      <w:pPr>
        <w:pStyle w:val="BodyText"/>
      </w:pPr>
      <w:hyperlink r:id="rId41">
        <w:r>
          <w:rPr>
            <w:rStyle w:val="Hyperlink"/>
          </w:rPr>
          <w:t xml:space="preserve">https://www.pib.gov.in/PressReleasePage.aspx?PRID=2080071</w:t>
        </w:r>
      </w:hyperlink>
    </w:p>
    <w:p>
      <w:pPr>
        <w:pStyle w:val="BodyText"/>
      </w:pPr>
      <w:hyperlink r:id="rId42">
        <w:r>
          <w:rPr>
            <w:rStyle w:val="Hyperlink"/>
          </w:rPr>
          <w:t xml:space="preserve">[61]</w:t>
        </w:r>
      </w:hyperlink>
      <w:r>
        <w:t xml:space="preserve"> </w:t>
      </w:r>
      <w:r>
        <w:t xml:space="preserve">https://www.pib.gov.in/PressReleasePage.aspx?PRID=2225755&amp;lang=1®=1</w:t>
      </w:r>
    </w:p>
    <w:p>
      <w:pPr>
        <w:pStyle w:val="BodyText"/>
      </w:pPr>
      <w:hyperlink r:id="rId42">
        <w:r>
          <w:rPr>
            <w:rStyle w:val="Hyperlink"/>
          </w:rPr>
          <w:t xml:space="preserve">https://www.pib.gov.in/PressReleasePage.aspx?PRID=2225755&amp;lang=1®=1</w:t>
        </w:r>
      </w:hyperlink>
    </w:p>
    <w:p>
      <w:pPr>
        <w:pStyle w:val="BodyText"/>
      </w:pPr>
      <w:hyperlink r:id="rId43">
        <w:r>
          <w:rPr>
            <w:rStyle w:val="Hyperlink"/>
          </w:rPr>
          <w:t xml:space="preserve">[63]</w:t>
        </w:r>
      </w:hyperlink>
      <w:r>
        <w:t xml:space="preserve"> </w:t>
      </w:r>
      <w:r>
        <w:t xml:space="preserve">https://www.reuters.com/business/healthcare-pharmaceuticals/india-plans-tighten-oversight-claims-portal-curb-rising-healthcare-costs-source-2025-07-10/</w:t>
      </w:r>
    </w:p>
    <w:p>
      <w:pPr>
        <w:pStyle w:val="BodyText"/>
      </w:pPr>
      <w:hyperlink r:id="rId43">
        <w:r>
          <w:rPr>
            <w:rStyle w:val="Hyperlink"/>
          </w:rPr>
          <w:t xml:space="preserve">https://www.reuters.com/business/healthcare-pharmaceuticals/india-plans-tighten-oversight-claims-portal-curb-rising-healthcare-costs-source-2025-07-10/</w:t>
        </w:r>
      </w:hyperlink>
    </w:p>
    <w:p>
      <w:pPr>
        <w:pStyle w:val="BodyText"/>
      </w:pPr>
      <w:hyperlink r:id="rId44">
        <w:r>
          <w:rPr>
            <w:rStyle w:val="Hyperlink"/>
          </w:rPr>
          <w:t xml:space="preserve">[64]</w:t>
        </w:r>
      </w:hyperlink>
      <w:r>
        <w:t xml:space="preserve"> </w:t>
      </w:r>
      <w:r>
        <w:t xml:space="preserve">https://www.reuters.com/world/india/max-healthcare-indigo-parent-enter-indias-nifty-50-index-after-rejig-nse-says-2025-08-22/</w:t>
      </w:r>
    </w:p>
    <w:p>
      <w:pPr>
        <w:pStyle w:val="BodyText"/>
      </w:pPr>
      <w:hyperlink r:id="rId44">
        <w:r>
          <w:rPr>
            <w:rStyle w:val="Hyperlink"/>
          </w:rPr>
          <w:t xml:space="preserve">https://www.reuters.com/world/india/max-healthcare-indigo-parent-enter-indias-nifty-50-index-after-rejig-nse-says-2025-08-22/</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ata.worldbank.org/indicator/SH.MED.BEDS.ZS?locations=IN" TargetMode="External" /><Relationship Type="http://schemas.openxmlformats.org/officeDocument/2006/relationships/hyperlink" Id="rId31" Target="https://lifeinscouncil.org/component/IRDAI%20Annual%20Report%202024-25.pdf" TargetMode="External" /><Relationship Type="http://schemas.openxmlformats.org/officeDocument/2006/relationships/hyperlink" Id="rId36" Target="https://max-website20-images.s3.ap-south-1.amazonaws.com/MHIL_Consolidated_Financials_FY_2025_26_43dd6c6f0a.pdf" TargetMode="External" /><Relationship Type="http://schemas.openxmlformats.org/officeDocument/2006/relationships/hyperlink" Id="rId22" Target="https://max-website20-images.s3.ap-south-1.amazonaws.com/SE_Intimation_Reg_30_LODR_Earnings_Update_21_05_2026_ed3cd6e592.pdf" TargetMode="External" /><Relationship Type="http://schemas.openxmlformats.org/officeDocument/2006/relationships/hyperlink" Id="rId23" Target="https://max-website20-images.s3.ap-south-1.amazonaws.com/SE_Intimation_Reg_30_LODR_Investor_Presentation_26_05_2026_eb5552d739.pdf" TargetMode="External" /><Relationship Type="http://schemas.openxmlformats.org/officeDocument/2006/relationships/hyperlink" Id="rId28" Target="https://max-website20-images.s3.ap-south-1.amazonaws.com/Shareholding_Pattern_June_2026_75d732175d.pdf" TargetMode="External" /><Relationship Type="http://schemas.openxmlformats.org/officeDocument/2006/relationships/hyperlink" Id="rId38" Target="https://plindia.com/ResReport/MAXHEALT-9-2-26-PL.pdf" TargetMode="External" /><Relationship Type="http://schemas.openxmlformats.org/officeDocument/2006/relationships/hyperlink" Id="rId34" Target="https://www.careratings.com/upload/CompanyFiles/PR/202410141045_Max_Healthcare_Institute_Limited.pdf" TargetMode="External" /><Relationship Type="http://schemas.openxmlformats.org/officeDocument/2006/relationships/hyperlink" Id="rId21" Target="https://www.etmoney.com/stocks/max-healthcare-institute-ltd/shareholding/2624" TargetMode="External" /><Relationship Type="http://schemas.openxmlformats.org/officeDocument/2006/relationships/hyperlink" Id="rId32" Target="https://www.icra.in/Research/ViewResearchReport/6685" TargetMode="External" /><Relationship Type="http://schemas.openxmlformats.org/officeDocument/2006/relationships/hyperlink" Id="rId27" Target="https://www.maxhealthcare.in/investors" TargetMode="External" /><Relationship Type="http://schemas.openxmlformats.org/officeDocument/2006/relationships/hyperlink" Id="rId35" Target="https://www.maxhealthcare.in/investors/corporategovernance/board-of-directors" TargetMode="External" /><Relationship Type="http://schemas.openxmlformats.org/officeDocument/2006/relationships/hyperlink" Id="rId26" Target="https://www.maxhealthcare.in/mhil-gets-listed-on-the-stock-exchanges" TargetMode="External" /><Relationship Type="http://schemas.openxmlformats.org/officeDocument/2006/relationships/hyperlink" Id="rId41" Target="https://www.pib.gov.in/PressReleasePage.aspx?PRID=2080071" TargetMode="External" /><Relationship Type="http://schemas.openxmlformats.org/officeDocument/2006/relationships/hyperlink" Id="rId42" Target="https://www.pib.gov.in/PressReleasePage.aspx?PRID=2225755&amp;lang=1&#174;=1" TargetMode="External" /><Relationship Type="http://schemas.openxmlformats.org/officeDocument/2006/relationships/hyperlink" Id="rId43" Target="https://www.reuters.com/business/healthcare-pharmaceuticals/india-plans-tighten-oversight-claims-portal-curb-rising-healthcare-costs-source-2025-07-10/" TargetMode="External" /><Relationship Type="http://schemas.openxmlformats.org/officeDocument/2006/relationships/hyperlink" Id="rId44" Target="https://www.reuters.com/world/india/max-healthcare-indigo-parent-enter-indias-nifty-50-index-after-rejig-nse-says-2025-08-22/" TargetMode="External" /></Relationships>
</file>

<file path=word/_rels/footnotes.xml.rels><?xml version="1.0" encoding="UTF-8"?><Relationships xmlns="http://schemas.openxmlformats.org/package/2006/relationships"><Relationship Type="http://schemas.openxmlformats.org/officeDocument/2006/relationships/hyperlink" Id="rId30" Target="https://data.worldbank.org/indicator/SH.MED.BEDS.ZS?locations=IN" TargetMode="External" /><Relationship Type="http://schemas.openxmlformats.org/officeDocument/2006/relationships/hyperlink" Id="rId31" Target="https://lifeinscouncil.org/component/IRDAI%20Annual%20Report%202024-25.pdf" TargetMode="External" /><Relationship Type="http://schemas.openxmlformats.org/officeDocument/2006/relationships/hyperlink" Id="rId36" Target="https://max-website20-images.s3.ap-south-1.amazonaws.com/MHIL_Consolidated_Financials_FY_2025_26_43dd6c6f0a.pdf" TargetMode="External" /><Relationship Type="http://schemas.openxmlformats.org/officeDocument/2006/relationships/hyperlink" Id="rId22" Target="https://max-website20-images.s3.ap-south-1.amazonaws.com/SE_Intimation_Reg_30_LODR_Earnings_Update_21_05_2026_ed3cd6e592.pdf" TargetMode="External" /><Relationship Type="http://schemas.openxmlformats.org/officeDocument/2006/relationships/hyperlink" Id="rId23" Target="https://max-website20-images.s3.ap-south-1.amazonaws.com/SE_Intimation_Reg_30_LODR_Investor_Presentation_26_05_2026_eb5552d739.pdf" TargetMode="External" /><Relationship Type="http://schemas.openxmlformats.org/officeDocument/2006/relationships/hyperlink" Id="rId28" Target="https://max-website20-images.s3.ap-south-1.amazonaws.com/Shareholding_Pattern_June_2026_75d732175d.pdf" TargetMode="External" /><Relationship Type="http://schemas.openxmlformats.org/officeDocument/2006/relationships/hyperlink" Id="rId38" Target="https://plindia.com/ResReport/MAXHEALT-9-2-26-PL.pdf" TargetMode="External" /><Relationship Type="http://schemas.openxmlformats.org/officeDocument/2006/relationships/hyperlink" Id="rId34" Target="https://www.careratings.com/upload/CompanyFiles/PR/202410141045_Max_Healthcare_Institute_Limited.pdf" TargetMode="External" /><Relationship Type="http://schemas.openxmlformats.org/officeDocument/2006/relationships/hyperlink" Id="rId21" Target="https://www.etmoney.com/stocks/max-healthcare-institute-ltd/shareholding/2624" TargetMode="External" /><Relationship Type="http://schemas.openxmlformats.org/officeDocument/2006/relationships/hyperlink" Id="rId32" Target="https://www.icra.in/Research/ViewResearchReport/6685" TargetMode="External" /><Relationship Type="http://schemas.openxmlformats.org/officeDocument/2006/relationships/hyperlink" Id="rId27" Target="https://www.maxhealthcare.in/investors" TargetMode="External" /><Relationship Type="http://schemas.openxmlformats.org/officeDocument/2006/relationships/hyperlink" Id="rId35" Target="https://www.maxhealthcare.in/investors/corporategovernance/board-of-directors" TargetMode="External" /><Relationship Type="http://schemas.openxmlformats.org/officeDocument/2006/relationships/hyperlink" Id="rId26" Target="https://www.maxhealthcare.in/mhil-gets-listed-on-the-stock-exchanges" TargetMode="External" /><Relationship Type="http://schemas.openxmlformats.org/officeDocument/2006/relationships/hyperlink" Id="rId41" Target="https://www.pib.gov.in/PressReleasePage.aspx?PRID=2080071" TargetMode="External" /><Relationship Type="http://schemas.openxmlformats.org/officeDocument/2006/relationships/hyperlink" Id="rId42" Target="https://www.pib.gov.in/PressReleasePage.aspx?PRID=2225755&amp;lang=1&#174;=1" TargetMode="External" /><Relationship Type="http://schemas.openxmlformats.org/officeDocument/2006/relationships/hyperlink" Id="rId43" Target="https://www.reuters.com/business/healthcare-pharmaceuticals/india-plans-tighten-oversight-claims-portal-curb-rising-healthcare-costs-source-2025-07-10/" TargetMode="External" /><Relationship Type="http://schemas.openxmlformats.org/officeDocument/2006/relationships/hyperlink" Id="rId44" Target="https://www.reuters.com/world/india/max-healthcare-indigo-parent-enter-indias-nifty-50-index-after-rejig-nse-says-2025-08-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2026-07-22T10:58:16Z</dcterms:created>
  <dcterms:modified xsi:type="dcterms:W3CDTF">2026-07-22T10:58:16Z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