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b0ac07f024a1ec2865c1d064033a9a04c076353"/>
    <w:p>
      <w:pPr>
        <w:pStyle w:val="Heading1"/>
      </w:pPr>
      <w:r>
        <w:t xml:space="preserve">INDIA HEALTHCARE: BEYOND THE PILL: WHEN DOES DRUG DELIVERY BECOME THE MOAT?</w:t>
      </w:r>
    </w:p>
    <w:bookmarkStart w:id="9" w:name="Xac18440b009e57fd6a91317b7dbb2ccb1cab45b"/>
    <w:p>
      <w:pPr>
        <w:pStyle w:val="Heading3"/>
      </w:pPr>
      <w:r>
        <w:t xml:space="preserve">Advanced drug delivery and drug-device combinations</w:t>
      </w:r>
    </w:p>
    <w:p>
      <w:pPr>
        <w:pStyle w:val="FirstParagraph"/>
      </w:pPr>
      <w:r>
        <w:rPr>
          <w:b/>
          <w:bCs/>
        </w:rPr>
        <w:t xml:space="preserve">13 August 2026</w:t>
      </w:r>
    </w:p>
    <w:bookmarkEnd w:id="9"/>
    <w:bookmarkStart w:id="10" w:name="executive-summary"/>
    <w:p>
      <w:pPr>
        <w:pStyle w:val="Heading2"/>
      </w:pPr>
      <w:r>
        <w:t xml:space="preserve">EXECUTIVE SUMMARY</w:t>
      </w:r>
    </w:p>
    <w:p>
      <w:pPr>
        <w:pStyle w:val="FirstParagraph"/>
      </w:pPr>
      <w:r>
        <w:rPr>
          <w:b/>
          <w:bCs/>
        </w:rPr>
        <w:t xml:space="preserve">The molecule is no longer the entire product.</w:t>
      </w:r>
      <w:r>
        <w:t xml:space="preserve"> </w:t>
      </w:r>
      <w:r>
        <w:t xml:space="preserve">Oral medicines will remain the cheapest and simplest way to deliver many small molecules. If a drug survives the gastrointestinal tract, is absorbed adequately, can tolerate first-pass metabolism and only needs once-daily dosing, adding a device can make the product more expensive without making treatment better. But a growing part of the pharmaceutical market does not fit that description. Peptides and proteins are poorly suited to conventional oral delivery. Respiratory medicines work best when deposited directly in the lung. Chronic biologics increasingly need to move from the clinic to the patient’s home. Long-acting contraception works partly because it removes daily behaviour from treatment. Insulin pumps can replace discrete injections with continuous, algorithm-controlled delivery. In each case, the delivery system changes something that matters: bioavailability, tissue concentration, dosing frequency, administration burden, error rate or persistence.</w:t>
      </w:r>
      <w:r>
        <w:t xml:space="preserve"> </w:t>
      </w:r>
      <w:r>
        <w:rPr>
          <w:b/>
          <w:bCs/>
        </w:rPr>
        <w:t xml:space="preserve">We therefore believe drug delivery is moving from packaging around the medicine to an increasingly important part of the medicine.</w:t>
      </w:r>
    </w:p>
    <w:p>
      <w:pPr>
        <w:pStyle w:val="BodyText"/>
      </w:pPr>
      <w:r>
        <w:rPr>
          <w:b/>
          <w:bCs/>
        </w:rPr>
        <w:t xml:space="preserve">There will be no universal device winner because the six major delivery platforms solve different clinical problems.</w:t>
      </w:r>
      <w:r>
        <w:t xml:space="preserve"> </w:t>
      </w:r>
      <w:r>
        <w:t xml:space="preserve">A drug-eluting stent creates high local tissue exposure while deliberately avoiding systemic drug exposure. An inhaler depends on aerodynamic particle engineering and the patient’s inspiratory manoeuvre. A transdermal patch trades rapid peaks for slow, prolonged absorption. A contraceptive implant converts a repeated adherence problem into a multi-year procedure. An autoinjector often leaves the molecule’s pharmacology unchanged but can move administration from a nurse to a patient. A pump can alter the pharmacokinetic profile itself by replacing intermittent dosing with continuous infusion. These are not variations of the same technology. The molecule, target tissue, required dose, therapeutic window and patient behaviour determine the right delivery system.</w:t>
      </w:r>
      <w:r>
        <w:t xml:space="preserve"> </w:t>
      </w:r>
      <w:r>
        <w:rPr>
          <w:b/>
          <w:bCs/>
        </w:rPr>
        <w:t xml:space="preserve">The key point is that better delivery is valuable only when it removes a real biological or behavioural bottleneck. Complexity without patient benefit does not create a durable moat.</w:t>
      </w:r>
    </w:p>
    <w:p>
      <w:pPr>
        <w:pStyle w:val="BodyText"/>
      </w:pPr>
      <w:r>
        <w:rPr>
          <w:b/>
          <w:bCs/>
        </w:rPr>
        <w:t xml:space="preserve">For Indian pharma, ownership is much less uniform than product launches suggest. We rank Zydus first, Lupin second and Sun Pharma third on current exposure to this theme, while retaining our Outperform ratings on all three.</w:t>
      </w:r>
      <w:r>
        <w:t xml:space="preserve"> </w:t>
      </w:r>
      <w:r>
        <w:t xml:space="preserve">Zydus has the broadest evidence of current formulation and delivery integration across a reusable semaglutide platform, transdermal manufacturing and complex dosage forms. Lupin has the strongest regulated-market respiratory proof among our preferred stocks, but its current semaglutide device exposure is licensed from Zydus rather than an internally owned pen platform. Sun is the least device-led thesis today: its India semaglutide pens use delivery devices developed by European suppliers, while its established strengths sit more in specialty formulation, sterile products and long-acting formats. This changes materially if the proposed Organon acquisition closes. Organon would bring Nexplanon, a near-US$1bn annual contraceptive implant franchise, and a scaled women’s-health commercial network. As of August 2026, the transaction remains subject to remaining closing conditions, so we do not treat Organon as part of Sun’s current operating portfolio.</w:t>
      </w:r>
    </w:p>
    <w:bookmarkEnd w:id="10"/>
    <w:bookmarkStart w:id="11" w:name="our-investment-view"/>
    <w:p>
      <w:pPr>
        <w:pStyle w:val="Heading2"/>
      </w:pPr>
      <w:r>
        <w:t xml:space="preserve">OUR INVESTMENT VIEW</w:t>
      </w:r>
    </w:p>
    <w:p>
      <w:pPr>
        <w:pStyle w:val="FirstParagraph"/>
      </w:pPr>
      <w:r>
        <w:rPr>
          <w:b/>
          <w:bCs/>
        </w:rPr>
        <w:t xml:space="preserve">Zydus Lifesciences, Outperform: the strongest current breadth.</w:t>
      </w:r>
      <w:r>
        <w:t xml:space="preserve"> </w:t>
      </w:r>
      <w:r>
        <w:t xml:space="preserve">We like the combination of a company-developed reusable semaglutide product platform, regulated-market transdermal manufacturing and broad complex-formulation capacity. Zydus Technologies operates a dedicated transdermal manufacturing facility, and the group has received US approvals for products including estradiol and norelgestromin/ethinyl estradiol transdermal systems. Its semaglutide arrangement with Lupin is particularly informative: Zydus developed the 15 mg/3 mL product with a reusable pen and retained its own brands while licensing semi-exclusive India co-marketing rights to Lupin. We do not extend this evidence to claim that every mechanical component or underlying pen patent is internally designed. Public disclosure does not establish that. What it does establish is greater product-platform control than a company merely buying a finished pen.</w:t>
      </w:r>
    </w:p>
    <w:p>
      <w:pPr>
        <w:pStyle w:val="BodyText"/>
      </w:pPr>
      <w:r>
        <w:rPr>
          <w:b/>
          <w:bCs/>
        </w:rPr>
        <w:t xml:space="preserve">Lupin, Outperform: the strongest respiratory moat, but a different injectable story.</w:t>
      </w:r>
      <w:r>
        <w:t xml:space="preserve"> </w:t>
      </w:r>
      <w:r>
        <w:t xml:space="preserve">Lupin has spent years building inhalation formulation, device integration, analytical and regulatory capability. Its US portfolio spans MDIs, DPIs and nasal products; the company has dedicated inhalation R&amp;D and continues to invest in next-generation pMDIs. This is real combination-product capability. Yet we would not automatically transfer that advantage into pen engineering. The current Zydus semaglutide product is licensed, while another international semaglutide arrangement uses Galenicum for development, manufacture and supply. Aerosol science, human factors and combination-product regulation are transferable skills. Cartridge drive systems, injection mechanics and wearable pumps remain distinct engineering disciplines.</w:t>
      </w:r>
    </w:p>
    <w:p>
      <w:pPr>
        <w:pStyle w:val="BodyText"/>
      </w:pPr>
      <w:r>
        <w:rPr>
          <w:b/>
          <w:bCs/>
        </w:rPr>
        <w:t xml:space="preserve">Sun Pharma, Outperform: a specialty-pharma thesis today, potentially a much larger delivery thesis tomorrow.</w:t>
      </w:r>
      <w:r>
        <w:t xml:space="preserve"> </w:t>
      </w:r>
      <w:r>
        <w:t xml:space="preserve">Sun launched semaglutide in India in March 2026 through a concealed-needle prefilled pen for obesity and a multidose pen for diabetes. The company explicitly states that these pens were developed by leading global pharmaceutical-device suppliers and manufactured in Europe. That is commercial access to good delivery technology, not ownership of a pen platform. Sun does have long-acting depots and prefilled injectable products, which demonstrate formulation and sterile-manufacturing capability. If Organon closes, Sun would acquire a very different asset: a scaled implant and women’s-health business with Nexplanon at its centre. We therefore treat Organon as a potential step-change in exposure, not current Sun capability.</w:t>
      </w:r>
    </w:p>
    <w:p>
      <w:r>
        <w:pict>
          <v:rect style="width:0;height:1.5pt" o:hralign="center" o:hrstd="t" o:hr="t"/>
        </w:pict>
      </w:r>
    </w:p>
    <w:bookmarkEnd w:id="11"/>
    <w:bookmarkEnd w:id="12"/>
    <w:bookmarkStart w:id="14" w:name="X8e241f5221b27529ee81c92efa858927c2a581d"/>
    <w:p>
      <w:pPr>
        <w:pStyle w:val="Heading1"/>
      </w:pPr>
      <w:r>
        <w:t xml:space="preserve">WHY DRUG DELIVERY IS BECOMING MORE IMPORTANT</w:t>
      </w:r>
    </w:p>
    <w:p>
      <w:pPr>
        <w:pStyle w:val="FirstParagraph"/>
      </w:pPr>
      <w:r>
        <w:t xml:space="preserve">The pharmaceutical industry’s delivery problem used to be relatively simple. A large part of the market consisted of chemically stable small molecules that could be compressed into a tablet, absorbed through the intestine and dosed once or several times a day. The manufacturing challenge was chemistry and formulation. The patient’s delivery system was a glass of water.</w:t>
      </w:r>
    </w:p>
    <w:p>
      <w:pPr>
        <w:pStyle w:val="BodyText"/>
      </w:pPr>
      <w:r>
        <w:t xml:space="preserve">That model does not disappear. But several of the industry’s fastest-growing product classes place more stress on it. Peptides and proteins can be degraded in the gastrointestinal tract and generally cross the intestinal epithelium poorly. Biologics can require volumes or viscosities that are uncomfortable through a conventional syringe. Chronic therapies make repeated clinic administration expensive and inconvenient. Local diseases can benefit from concentrating drug at the target organ while limiting systemic exposure. Longer treatment duration also makes patient behaviour more important. A device can therefore alter the commercial product even when the active molecule is unchanged.</w:t>
      </w:r>
    </w:p>
    <w:p>
      <w:pPr>
        <w:pStyle w:val="BodyText"/>
      </w:pPr>
      <w:r>
        <w:t xml:space="preserve">The economic scale is already visible. Lilly generated roughly US$36.5bn of combined Mounjaro and Zepbound revenue in 2025. Insulet generated US$2.67bn from Omnipod. Organon’s Nexplanon/Implanon NXT franchise generated US$921m. GSK’s Trelegy Ellipta generated £3.0bn. These numbers measure different things and should not be added into an</w:t>
      </w:r>
      <w:r>
        <w:t xml:space="preserve"> </w:t>
      </w:r>
      <w:r>
        <w:t xml:space="preserve">“advanced delivery market”</w:t>
      </w:r>
      <w:r>
        <w:t xml:space="preserve">. Mounjaro revenue is predominantly drug value supported by an injection format, Omnipod is principally a delivery-system revenue pool, Nexplanon combines drug and implant, and Trelegy combines formulation with a proprietary inhaler platform.</w:t>
      </w:r>
      <w:r>
        <w:t xml:space="preserve"> </w:t>
      </w:r>
      <w:r>
        <w:rPr>
          <w:b/>
          <w:bCs/>
        </w:rPr>
        <w:t xml:space="preserve">The commercial point is more useful than a headline TAM: delivery technology already sits underneath some of the world’s largest pharmaceutical franchises.</w:t>
      </w:r>
    </w:p>
    <w:bookmarkStart w:id="13" w:name="X0de1c63062de0ef89d568093d2cdde7139eb5fc"/>
    <w:p>
      <w:pPr>
        <w:pStyle w:val="Heading3"/>
      </w:pPr>
      <w:r>
        <w:t xml:space="preserve">Exhibit 1: A single</w:t>
      </w:r>
      <w:r>
        <w:t xml:space="preserve"> </w:t>
      </w:r>
      <w:r>
        <w:t xml:space="preserve">“advanced drug-delivery market”</w:t>
      </w:r>
      <w:r>
        <w:t xml:space="preserve"> </w:t>
      </w:r>
      <w:r>
        <w:t xml:space="preserve">number is false precision because the six platforms monetize different economic pools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Platform</w:t>
            </w:r>
          </w:p>
        </w:tc>
        <w:tc>
          <w:tcPr/>
          <w:p>
            <w:pPr>
              <w:pStyle w:val="Compact"/>
            </w:pPr>
            <w:r>
              <w:t xml:space="preserve">What is actually monetized</w:t>
            </w:r>
          </w:p>
        </w:tc>
        <w:tc>
          <w:tcPr/>
          <w:p>
            <w:pPr>
              <w:pStyle w:val="Compact"/>
              <w:jc w:val="right"/>
            </w:pPr>
            <w:r>
              <w:t xml:space="preserve">Representative public benchmark</w:t>
            </w:r>
          </w:p>
        </w:tc>
        <w:tc>
          <w:tcPr/>
          <w:p>
            <w:pPr>
              <w:pStyle w:val="Compact"/>
            </w:pPr>
            <w:r>
              <w:t xml:space="preserve">What matters economically</w:t>
            </w:r>
          </w:p>
        </w:tc>
      </w:tr>
      <w:tr>
        <w:tc>
          <w:tcPr/>
          <w:p>
            <w:pPr>
              <w:pStyle w:val="Compact"/>
            </w:pPr>
            <w:r>
              <w:t xml:space="preserve">Inhalation</w:t>
            </w:r>
          </w:p>
        </w:tc>
        <w:tc>
          <w:tcPr/>
          <w:p>
            <w:pPr>
              <w:pStyle w:val="Compact"/>
            </w:pPr>
            <w:r>
              <w:t xml:space="preserve">Drug + proprietary device</w:t>
            </w:r>
          </w:p>
        </w:tc>
        <w:tc>
          <w:tcPr/>
          <w:p>
            <w:pPr>
              <w:pStyle w:val="Compact"/>
              <w:jc w:val="right"/>
            </w:pPr>
            <w:r>
              <w:t xml:space="preserve">Trelegy Ellipta, £3.0bn 2025 sales</w:t>
            </w:r>
          </w:p>
        </w:tc>
        <w:tc>
          <w:tcPr/>
          <w:p>
            <w:pPr>
              <w:pStyle w:val="Compact"/>
            </w:pPr>
            <w:r>
              <w:t xml:space="preserve">Molecule, formulation and inhaler performance</w:t>
            </w:r>
          </w:p>
        </w:tc>
      </w:tr>
      <w:tr>
        <w:tc>
          <w:tcPr/>
          <w:p>
            <w:pPr>
              <w:pStyle w:val="Compact"/>
            </w:pPr>
            <w:r>
              <w:t xml:space="preserve">Pens / autoinjectors</w:t>
            </w:r>
          </w:p>
        </w:tc>
        <w:tc>
          <w:tcPr/>
          <w:p>
            <w:pPr>
              <w:pStyle w:val="Compact"/>
            </w:pPr>
            <w:r>
              <w:t xml:space="preserve">Predominantly drug franchise, device embedded</w:t>
            </w:r>
          </w:p>
        </w:tc>
        <w:tc>
          <w:tcPr/>
          <w:p>
            <w:pPr>
              <w:pStyle w:val="Compact"/>
              <w:jc w:val="right"/>
            </w:pPr>
            <w:r>
              <w:t xml:space="preserve">Mounjaro + Zepbound, US$36.5bn 2025 sales</w:t>
            </w:r>
          </w:p>
        </w:tc>
        <w:tc>
          <w:tcPr/>
          <w:p>
            <w:pPr>
              <w:pStyle w:val="Compact"/>
            </w:pPr>
            <w:r>
              <w:t xml:space="preserve">Ease of self-administration at very large drug scale</w:t>
            </w:r>
          </w:p>
        </w:tc>
      </w:tr>
      <w:tr>
        <w:tc>
          <w:tcPr/>
          <w:p>
            <w:pPr>
              <w:pStyle w:val="Compact"/>
            </w:pPr>
            <w:r>
              <w:t xml:space="preserve">LARC / implants</w:t>
            </w:r>
          </w:p>
        </w:tc>
        <w:tc>
          <w:tcPr/>
          <w:p>
            <w:pPr>
              <w:pStyle w:val="Compact"/>
            </w:pPr>
            <w:r>
              <w:t xml:space="preserve">Drug + device + procedure/training ecosystem</w:t>
            </w:r>
          </w:p>
        </w:tc>
        <w:tc>
          <w:tcPr/>
          <w:p>
            <w:pPr>
              <w:pStyle w:val="Compact"/>
              <w:jc w:val="right"/>
            </w:pPr>
            <w:r>
              <w:t xml:space="preserve">Nexplanon, US$921m 2025 sales</w:t>
            </w:r>
          </w:p>
        </w:tc>
        <w:tc>
          <w:tcPr/>
          <w:p>
            <w:pPr>
              <w:pStyle w:val="Compact"/>
            </w:pPr>
            <w:r>
              <w:t xml:space="preserve">Duration and low user dependence</w:t>
            </w:r>
          </w:p>
        </w:tc>
      </w:tr>
      <w:tr>
        <w:tc>
          <w:tcPr/>
          <w:p>
            <w:pPr>
              <w:pStyle w:val="Compact"/>
            </w:pPr>
            <w:r>
              <w:t xml:space="preserve">Insulin pumps</w:t>
            </w:r>
          </w:p>
        </w:tc>
        <w:tc>
          <w:tcPr/>
          <w:p>
            <w:pPr>
              <w:pStyle w:val="Compact"/>
            </w:pPr>
            <w:r>
              <w:t xml:space="preserve">Hardware + disposable pods/consumables + software</w:t>
            </w:r>
          </w:p>
        </w:tc>
        <w:tc>
          <w:tcPr/>
          <w:p>
            <w:pPr>
              <w:pStyle w:val="Compact"/>
              <w:jc w:val="right"/>
            </w:pPr>
            <w:r>
              <w:t xml:space="preserve">Omnipod, US$2.67bn 2025 sales</w:t>
            </w:r>
          </w:p>
        </w:tc>
        <w:tc>
          <w:tcPr/>
          <w:p>
            <w:pPr>
              <w:pStyle w:val="Compact"/>
            </w:pPr>
            <w:r>
              <w:t xml:space="preserve">Recurring delivery-system economics</w:t>
            </w:r>
          </w:p>
        </w:tc>
      </w:tr>
      <w:tr>
        <w:tc>
          <w:tcPr/>
          <w:p>
            <w:pPr>
              <w:pStyle w:val="Compact"/>
            </w:pPr>
            <w:r>
              <w:t xml:space="preserve">Coronary local delivery</w:t>
            </w:r>
          </w:p>
        </w:tc>
        <w:tc>
          <w:tcPr/>
          <w:p>
            <w:pPr>
              <w:pStyle w:val="Compact"/>
            </w:pPr>
            <w:r>
              <w:t xml:space="preserve">Device + procedure; drug is a small component</w:t>
            </w:r>
          </w:p>
        </w:tc>
        <w:tc>
          <w:tcPr/>
          <w:p>
            <w:pPr>
              <w:pStyle w:val="Compact"/>
              <w:jc w:val="right"/>
            </w:pPr>
            <w:r>
              <w:t xml:space="preserve">DES/DCB procedure market</w:t>
            </w:r>
          </w:p>
        </w:tc>
        <w:tc>
          <w:tcPr/>
          <w:p>
            <w:pPr>
              <w:pStyle w:val="Compact"/>
            </w:pPr>
            <w:r>
              <w:t xml:space="preserve">Scaffold, coating and clinical evidence</w:t>
            </w:r>
          </w:p>
        </w:tc>
      </w:tr>
      <w:tr>
        <w:tc>
          <w:tcPr/>
          <w:p>
            <w:pPr>
              <w:pStyle w:val="Compact"/>
            </w:pPr>
            <w:r>
              <w:t xml:space="preserve">Transdermal</w:t>
            </w:r>
          </w:p>
        </w:tc>
        <w:tc>
          <w:tcPr/>
          <w:p>
            <w:pPr>
              <w:pStyle w:val="Compact"/>
            </w:pPr>
            <w:r>
              <w:t xml:space="preserve">Drug + patch system</w:t>
            </w:r>
          </w:p>
        </w:tc>
        <w:tc>
          <w:tcPr/>
          <w:p>
            <w:pPr>
              <w:pStyle w:val="Compact"/>
              <w:jc w:val="right"/>
            </w:pPr>
            <w:r>
              <w:t xml:space="preserve">Fragmented across mature categories</w:t>
            </w:r>
          </w:p>
        </w:tc>
        <w:tc>
          <w:tcPr/>
          <w:p>
            <w:pPr>
              <w:pStyle w:val="Compact"/>
            </w:pPr>
            <w:r>
              <w:t xml:space="preserve">Formulation, adhesion and controlled release</w:t>
            </w:r>
          </w:p>
        </w:tc>
      </w:tr>
    </w:tbl>
    <w:p>
      <w:pPr>
        <w:pStyle w:val="BodyText"/>
      </w:pPr>
      <w:r>
        <w:rPr>
          <w:b/>
          <w:bCs/>
        </w:rPr>
        <w:t xml:space="preserve">Analyst build:</w:t>
      </w:r>
      <w:r>
        <w:t xml:space="preserve"> </w:t>
      </w:r>
      <w:r>
        <w:t xml:space="preserve">Table. No X or Y axis. Units: reported company currency. Required data: 2025 product revenues and product classification. Sources: Lilly, GSK, Insulet and Organon company disclosures. What it proves: market-research TAMs frequently combine incompatible revenue definitions. Investor takeaway: size each platform using the unit that is actually monetized rather than adding drug sales, devices and procedures into one number.</w:t>
      </w:r>
    </w:p>
    <w:p>
      <w:pPr>
        <w:pStyle w:val="BodyText"/>
      </w:pPr>
      <w:r>
        <w:t xml:space="preserve">This distinction also explains why a small device company can matter to a much larger drug franchise. The device supplier may capture only tens of dollars of value per administration, while the pharmaceutical company captures hundreds or thousands of dollars of drug value. Yet a failure in dose delivery, usability or manufacturing can put the entire pharmaceutical revenue stream at risk. The device therefore does not need to capture most of the economics to be strategically important.</w:t>
      </w:r>
    </w:p>
    <w:p>
      <w:r>
        <w:pict>
          <v:rect style="width:0;height:1.5pt" o:hralign="center" o:hrstd="t" o:hr="t"/>
        </w:pict>
      </w:r>
    </w:p>
    <w:bookmarkEnd w:id="13"/>
    <w:bookmarkEnd w:id="14"/>
    <w:bookmarkStart w:id="17" w:name="X53c7510c3bf431e46e7d260e032abe40c0fee56"/>
    <w:p>
      <w:pPr>
        <w:pStyle w:val="Heading1"/>
      </w:pPr>
      <w:r>
        <w:t xml:space="preserve">ORAL VERSUS DEVICE-BASED DELIVERY: THE PILL REMAINS A VERY HIGH BAR TO BEAT</w:t>
      </w:r>
    </w:p>
    <w:p>
      <w:pPr>
        <w:pStyle w:val="FirstParagraph"/>
      </w:pPr>
      <w:r>
        <w:t xml:space="preserve">Oral treatment starts with formidable advantages. Tablets are inexpensive to manufacture at scale, compact, familiar to patients and generally easy to distribute. There is no needle, no pump, no training programme and usually no separate device supply chain. If the medicine is stable in gastric and intestinal conditions, has adequate permeability, tolerable first-pass metabolism and a sufficiently wide therapeutic window, an oral product can deliver excellent clinical performance with the lowest system complexity.</w:t>
      </w:r>
    </w:p>
    <w:p>
      <w:pPr>
        <w:pStyle w:val="BodyText"/>
      </w:pPr>
      <w:r>
        <w:t xml:space="preserve">The argument for devices begins only when one of those assumptions breaks. A peptide may be digested before absorption. A respiratory drug may need high local lung concentration but low systemic exposure. A potent hormone may benefit from smooth, multi-day exposure. A biologic may need a precise subcutaneous dose every one or two weeks. A Parkinson’s patient with advanced disease may need stable levodopa exposure rather than repeated oral peaks and troughs. A contraceptive user may prefer a procedure every several years to a tablet every day.</w:t>
      </w:r>
    </w:p>
    <w:p>
      <w:pPr>
        <w:pStyle w:val="BodyText"/>
      </w:pPr>
      <w:r>
        <w:t xml:space="preserve">The benefit can come through three very different routes. First, a device can change</w:t>
      </w:r>
      <w:r>
        <w:t xml:space="preserve"> </w:t>
      </w:r>
      <w:r>
        <w:rPr>
          <w:b/>
          <w:bCs/>
        </w:rPr>
        <w:t xml:space="preserve">pharmacology</w:t>
      </w:r>
      <w:r>
        <w:t xml:space="preserve">, as in inhalation, transdermal delivery, local coronary delivery or continuous infusion. Second, it can change</w:t>
      </w:r>
      <w:r>
        <w:t xml:space="preserve"> </w:t>
      </w:r>
      <w:r>
        <w:rPr>
          <w:b/>
          <w:bCs/>
        </w:rPr>
        <w:t xml:space="preserve">behaviour</w:t>
      </w:r>
      <w:r>
        <w:t xml:space="preserve">, as in an implant that removes repeated dosing decisions. Third, it can change</w:t>
      </w:r>
      <w:r>
        <w:t xml:space="preserve"> </w:t>
      </w:r>
      <w:r>
        <w:rPr>
          <w:b/>
          <w:bCs/>
        </w:rPr>
        <w:t xml:space="preserve">site of care</w:t>
      </w:r>
      <w:r>
        <w:t xml:space="preserve">, as when an autoinjector allows a medicine previously administered by a healthcare professional to be used at home. These should not be conflated. An autoinjector does not automatically make a monoclonal antibody more efficacious. Its value may instead sit in convenience and treatment economics.</w:t>
      </w:r>
    </w:p>
    <w:p>
      <w:pPr>
        <w:pStyle w:val="BodyText"/>
      </w:pPr>
      <w:r>
        <w:t xml:space="preserve">Devices also introduce costs that pills avoid. Combination products require mechanical reliability, dose accuracy, container-closure compatibility, extractables and leachables work, sterilisation strategy, human-factor validation and, in many cases, additional regulatory interaction. FDA guidance explicitly treats prefilled syringes, autoinjectors, inhalers, pumps, transdermal systems and drug-eluting stents as drug-device combination products. Human-factor guidance focuses on critical tasks and the risk that use errors affect safe and effective delivery. EMA similarly requires evidence that the device component supports the medicine’s quality, safety and efficacy.</w:t>
      </w:r>
    </w:p>
    <w:bookmarkStart w:id="15" w:name="Xc7f650abb19723402ac6cd1479cfc7e5f123e75"/>
    <w:p>
      <w:pPr>
        <w:pStyle w:val="Heading3"/>
      </w:pPr>
      <w:r>
        <w:t xml:space="preserve">Exhibit 2: No route is universally superior: the best delivery system depends on the molecule and clinical objective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Best reason to use it</w:t>
            </w:r>
          </w:p>
        </w:tc>
        <w:tc>
          <w:tcPr/>
          <w:p>
            <w:pPr>
              <w:pStyle w:val="Compact"/>
            </w:pPr>
            <w:r>
              <w:t xml:space="preserve">Principal constraint</w:t>
            </w:r>
          </w:p>
        </w:tc>
      </w:tr>
      <w:tr>
        <w:tc>
          <w:tcPr/>
          <w:p>
            <w:pPr>
              <w:pStyle w:val="Compact"/>
            </w:pPr>
            <w:r>
              <w:t xml:space="preserve">Oral</w:t>
            </w:r>
          </w:p>
        </w:tc>
        <w:tc>
          <w:tcPr/>
          <w:p>
            <w:pPr>
              <w:pStyle w:val="Compact"/>
            </w:pPr>
            <w:r>
              <w:t xml:space="preserve">Low cost, simplicity, broad scalability</w:t>
            </w:r>
          </w:p>
        </w:tc>
        <w:tc>
          <w:tcPr/>
          <w:p>
            <w:pPr>
              <w:pStyle w:val="Compact"/>
            </w:pPr>
            <w:r>
              <w:t xml:space="preserve">GI degradation, absorption and first-pass metabolism</w:t>
            </w:r>
          </w:p>
        </w:tc>
      </w:tr>
      <w:tr>
        <w:tc>
          <w:tcPr/>
          <w:p>
            <w:pPr>
              <w:pStyle w:val="Compact"/>
            </w:pPr>
            <w:r>
              <w:t xml:space="preserve">Inhaled</w:t>
            </w:r>
          </w:p>
        </w:tc>
        <w:tc>
          <w:tcPr/>
          <w:p>
            <w:pPr>
              <w:pStyle w:val="Compact"/>
            </w:pPr>
            <w:r>
              <w:t xml:space="preserve">High local lung exposure, rapid access to airways</w:t>
            </w:r>
          </w:p>
        </w:tc>
        <w:tc>
          <w:tcPr/>
          <w:p>
            <w:pPr>
              <w:pStyle w:val="Compact"/>
            </w:pPr>
            <w:r>
              <w:t xml:space="preserve">Technique and aerosol/device dependence</w:t>
            </w:r>
          </w:p>
        </w:tc>
      </w:tr>
      <w:tr>
        <w:tc>
          <w:tcPr/>
          <w:p>
            <w:pPr>
              <w:pStyle w:val="Compact"/>
            </w:pPr>
            <w:r>
              <w:t xml:space="preserve">Transdermal</w:t>
            </w:r>
          </w:p>
        </w:tc>
        <w:tc>
          <w:tcPr/>
          <w:p>
            <w:pPr>
              <w:pStyle w:val="Compact"/>
            </w:pPr>
            <w:r>
              <w:t xml:space="preserve">Slow, prolonged systemic exposure</w:t>
            </w:r>
          </w:p>
        </w:tc>
        <w:tc>
          <w:tcPr/>
          <w:p>
            <w:pPr>
              <w:pStyle w:val="Compact"/>
            </w:pPr>
            <w:r>
              <w:t xml:space="preserve">Skin permeability and dose limitations</w:t>
            </w:r>
          </w:p>
        </w:tc>
      </w:tr>
      <w:tr>
        <w:tc>
          <w:tcPr/>
          <w:p>
            <w:pPr>
              <w:pStyle w:val="Compact"/>
            </w:pPr>
            <w:r>
              <w:t xml:space="preserve">SC syringe / PFS</w:t>
            </w:r>
          </w:p>
        </w:tc>
        <w:tc>
          <w:tcPr/>
          <w:p>
            <w:pPr>
              <w:pStyle w:val="Compact"/>
            </w:pPr>
            <w:r>
              <w:t xml:space="preserve">Reliable systemic exposure for biologics</w:t>
            </w:r>
          </w:p>
        </w:tc>
        <w:tc>
          <w:tcPr/>
          <w:p>
            <w:pPr>
              <w:pStyle w:val="Compact"/>
            </w:pPr>
            <w:r>
              <w:t xml:space="preserve">Needle burden and administration steps</w:t>
            </w:r>
          </w:p>
        </w:tc>
      </w:tr>
      <w:tr>
        <w:tc>
          <w:tcPr/>
          <w:p>
            <w:pPr>
              <w:pStyle w:val="Compact"/>
            </w:pPr>
            <w:r>
              <w:t xml:space="preserve">Pen / autoinjector</w:t>
            </w:r>
          </w:p>
        </w:tc>
        <w:tc>
          <w:tcPr/>
          <w:p>
            <w:pPr>
              <w:pStyle w:val="Compact"/>
            </w:pPr>
            <w:r>
              <w:t xml:space="preserve">Convenient, repeatable self-injection</w:t>
            </w:r>
          </w:p>
        </w:tc>
        <w:tc>
          <w:tcPr/>
          <w:p>
            <w:pPr>
              <w:pStyle w:val="Compact"/>
            </w:pPr>
            <w:r>
              <w:t xml:space="preserve">Device cost, waste, mechanical complexity</w:t>
            </w:r>
          </w:p>
        </w:tc>
      </w:tr>
      <w:tr>
        <w:tc>
          <w:tcPr/>
          <w:p>
            <w:pPr>
              <w:pStyle w:val="Compact"/>
            </w:pPr>
            <w:r>
              <w:t xml:space="preserve">Pump / wearable</w:t>
            </w:r>
          </w:p>
        </w:tc>
        <w:tc>
          <w:tcPr/>
          <w:p>
            <w:pPr>
              <w:pStyle w:val="Compact"/>
            </w:pPr>
            <w:r>
              <w:t xml:space="preserve">Continuous or larger-volume delivery</w:t>
            </w:r>
          </w:p>
        </w:tc>
        <w:tc>
          <w:tcPr/>
          <w:p>
            <w:pPr>
              <w:pStyle w:val="Compact"/>
            </w:pPr>
            <w:r>
              <w:t xml:space="preserve">Hardware cost, training and reliability</w:t>
            </w:r>
          </w:p>
        </w:tc>
      </w:tr>
      <w:tr>
        <w:tc>
          <w:tcPr/>
          <w:p>
            <w:pPr>
              <w:pStyle w:val="Compact"/>
            </w:pPr>
            <w:r>
              <w:t xml:space="preserve">Implant / local device</w:t>
            </w:r>
          </w:p>
        </w:tc>
        <w:tc>
          <w:tcPr/>
          <w:p>
            <w:pPr>
              <w:pStyle w:val="Compact"/>
            </w:pPr>
            <w:r>
              <w:t xml:space="preserve">Long duration or very high local exposure</w:t>
            </w:r>
          </w:p>
        </w:tc>
        <w:tc>
          <w:tcPr/>
          <w:p>
            <w:pPr>
              <w:pStyle w:val="Compact"/>
            </w:pPr>
            <w:r>
              <w:t xml:space="preserve">Procedure and removal/reintervention burden</w:t>
            </w:r>
          </w:p>
        </w:tc>
      </w:tr>
    </w:tbl>
    <w:p>
      <w:pPr>
        <w:pStyle w:val="BodyText"/>
      </w:pPr>
      <w:r>
        <w:rPr>
          <w:b/>
          <w:bCs/>
        </w:rPr>
        <w:t xml:space="preserve">Analyst build:</w:t>
      </w:r>
      <w:r>
        <w:t xml:space="preserve"> </w:t>
      </w:r>
      <w:r>
        <w:t xml:space="preserve">Heat-map matrix. X-axis: the routes above. Y-axis: oral bioavailability dependence, local delivery, onset, dosing frequency, dose capacity, patient convenience, manufacturing complexity and cost. Units: qualitative score from 1 to 5, clearly labelled Bernstein Analysis. Required data: mechanistic characteristics, not market-share data. Likely sources: FDA/EMA combination-product guidance plus pharmacology literature. What it proves: the correct route is molecule-specific and disease-specific. Investor takeaway: a delivery platform should be judged against the clinical bottleneck it solves, not against pills in the abstract.</w:t>
      </w:r>
    </w:p>
    <w:bookmarkEnd w:id="15"/>
    <w:bookmarkStart w:id="16" w:name="X05567819ca0996e42dcfaa5cdcc797a8d741aa1"/>
    <w:p>
      <w:pPr>
        <w:pStyle w:val="Heading3"/>
      </w:pPr>
      <w:r>
        <w:t xml:space="preserve">Exhibit 3: Drug delivery becomes valuable when it removes a bottleneck, not when it simply adds hardware</w:t>
      </w:r>
    </w:p>
    <w:p>
      <w:pPr>
        <w:pStyle w:val="FirstParagraph"/>
      </w:pPr>
      <w:r>
        <w:rPr>
          <w:b/>
          <w:bCs/>
        </w:rPr>
        <w:t xml:space="preserve">Analyst build:</w:t>
      </w:r>
      <w:r>
        <w:t xml:space="preserve"> </w:t>
      </w:r>
      <w:r>
        <w:t xml:space="preserve">Horizontal timeline/continuum. X-axis: tablet → inhaler → prefilled syringe → reusable pen → disposable pen/autoinjector → connected device → wearable injector/pump. Y-axis: none. Under each format place the bottleneck solved: GI absorption; local lung deposition; dose preparation; repeated dosing; needle concealment; error tracking; continuous or larger-volume delivery. Units: none. Sources: FDA product definitions and representative company products. What it proves: increasing engineering complexity has followed increasing treatment complexity. Investor takeaway: each step should earn its complexity by removing a measurable clinical or behavioural problem.</w:t>
      </w:r>
    </w:p>
    <w:p>
      <w:r>
        <w:pict>
          <v:rect style="width:0;height:1.5pt" o:hralign="center" o:hrstd="t" o:hr="t"/>
        </w:pict>
      </w:r>
    </w:p>
    <w:bookmarkEnd w:id="16"/>
    <w:bookmarkEnd w:id="17"/>
    <w:bookmarkStart w:id="19" w:name="Xc3196da59addc376a944d244f1de4a23d3ef0f6"/>
    <w:p>
      <w:pPr>
        <w:pStyle w:val="Heading1"/>
      </w:pPr>
      <w:r>
        <w:t xml:space="preserve">PLATFORM 1: LOCAL DRUG DELIVERY WORKS WHEN HIGH TISSUE EXPOSURE IS MORE VALUABLE THAN SYSTEMIC DRUG</w:t>
      </w:r>
    </w:p>
    <w:p>
      <w:pPr>
        <w:pStyle w:val="FirstParagraph"/>
      </w:pPr>
      <w:r>
        <w:t xml:space="preserve">A coronary stent solves a mechanical problem first. A balloon opens a narrowed coronary artery and the stent acts as a scaffold to keep the vessel open. Early bare-metal stents did this well, but implantation damages the vessel wall. Healing can trigger smooth-muscle-cell proliferation and neointimal growth inside the stent, narrowing the artery again.</w:t>
      </w:r>
    </w:p>
    <w:p>
      <w:pPr>
        <w:pStyle w:val="BodyText"/>
      </w:pPr>
      <w:r>
        <w:t xml:space="preserve">Drug-eluting stents added a pharmacological solution to that mechanical scaffold. A small quantity of antiproliferative drug is released from the stent surface into the vessel wall. The objective is not broad systemic therapy. It is the opposite: expose the injured vessel locally to enough drug to suppress excessive tissue growth while keeping systemic exposure low.</w:t>
      </w:r>
    </w:p>
    <w:p>
      <w:pPr>
        <w:pStyle w:val="BodyText"/>
      </w:pPr>
      <w:r>
        <w:t xml:space="preserve">The polymer layer matters because it controls how the drug is carried and released. Modern systems use durable or bioresorbable polymers, while polymer-free designs attempt to deliver drug without leaving a permanent polymer. Polymer-free does not automatically mean clinically superior. Coating integrity, release kinetics, stent architecture, radial mechanics and deliverability all matter together.</w:t>
      </w:r>
    </w:p>
    <w:p>
      <w:pPr>
        <w:pStyle w:val="BodyText"/>
      </w:pPr>
      <w:r>
        <w:t xml:space="preserve">The clinical evidence shows why this is a useful model for the entire report. In NORSTENT, contemporary drug-eluting stents reduced repeat revascularisation versus bare-metal stents, 16.5% versus 19.8% at six years, while death and spontaneous myocardial infarction were not materially different. Definite stent thrombosis was low in both groups.</w:t>
      </w:r>
      <w:r>
        <w:t xml:space="preserve"> </w:t>
      </w:r>
      <w:r>
        <w:rPr>
          <w:b/>
          <w:bCs/>
        </w:rPr>
        <w:t xml:space="preserve">The delivery technology solved restenosis more than it changed overall mortality. That narrower claim is still commercially important because avoiding repeat coronary procedures matters to patients and health systems.</w:t>
      </w:r>
    </w:p>
    <w:p>
      <w:pPr>
        <w:pStyle w:val="BodyText"/>
      </w:pPr>
      <w:r>
        <w:t xml:space="preserve">Drug-coated balloons use the same local-delivery principle without leaving a permanent scaffold. During balloon inflation, antiproliferative drug transfers to the vessel wall. This is useful in selected in-stent restenosis and small-vessel settings, but a drug-coated balloon cannot provide the radial support of a stent if recoil or major dissection is the problem. Evidence in restenosis continues to evolve, and drug-eluting stents remain superior in some comparative analyses for target-lesion revascularisation.</w:t>
      </w:r>
    </w:p>
    <w:bookmarkStart w:id="18" w:name="Xf6eef470722d2e71604ba91b40acc605ea834d5"/>
    <w:p>
      <w:pPr>
        <w:pStyle w:val="Heading3"/>
      </w:pPr>
      <w:r>
        <w:t xml:space="preserve">Exhibit 4: Local drug delivery reduced repeat revascularisation, not mortality: DES shows exactly what a delivery technology should solve</w:t>
      </w:r>
    </w:p>
    <w:p>
      <w:pPr>
        <w:pStyle w:val="FirstParagraph"/>
      </w:pPr>
      <w:r>
        <w:rPr>
          <w:b/>
          <w:bCs/>
        </w:rPr>
        <w:t xml:space="preserve">Analyst build:</w:t>
      </w:r>
      <w:r>
        <w:t xml:space="preserve"> </w:t>
      </w:r>
      <w:r>
        <w:t xml:space="preserve">Clustered bar chart using NORSTENT. X-axis: repeat revascularisation and definite stent thrombosis. Y-axis: cumulative event rate, %. Series: drug-eluting stent and bare-metal stent. Data: repeat revascularisation 16.5% vs 19.8%; definite stent thrombosis 0.8% vs 1.2%. Add a text callout that death/nonfatal spontaneous MI was not significantly different. Source: NORSTENT/NEJM. What it proves: local pharmacological delivery can improve the endpoint caused by local vascular healing without creating a universal outcome advantage. Investor takeaway: durable device value does not require the device to improve every endpoint.</w:t>
      </w:r>
    </w:p>
    <w:p>
      <w:pPr>
        <w:pStyle w:val="BodyText"/>
      </w:pPr>
      <w:r>
        <w:t xml:space="preserve">The economics sit mainly in the device and procedure rather than in the active pharmaceutical ingredient. The amount of drug on a coronary stent is tiny. The higher-value capabilities are scaffold engineering, coating uniformity, controlled release, sterilisation, delivery catheter performance, manufacturing consistency and clinical evidence. This is the first important distinction in the value chain:</w:t>
      </w:r>
      <w:r>
        <w:t xml:space="preserve"> </w:t>
      </w:r>
      <w:r>
        <w:rPr>
          <w:b/>
          <w:bCs/>
        </w:rPr>
        <w:t xml:space="preserve">device complexity can create a moat even where drug value itself is low.</w:t>
      </w:r>
    </w:p>
    <w:p>
      <w:pPr>
        <w:pStyle w:val="BodyText"/>
      </w:pPr>
      <w:r>
        <w:t xml:space="preserve">We would not force CNS implants into this platform merely to broaden the section. Continuous intrathecal or subcutaneous pumps belong more naturally with infusion systems because their core advantage is continuous administration. Local CNS implants can be clinically useful but remain too heterogeneous to form a central investable delivery category in this India-focused note.</w:t>
      </w:r>
    </w:p>
    <w:p>
      <w:r>
        <w:pict>
          <v:rect style="width:0;height:1.5pt" o:hralign="center" o:hrstd="t" o:hr="t"/>
        </w:pict>
      </w:r>
    </w:p>
    <w:bookmarkEnd w:id="18"/>
    <w:bookmarkEnd w:id="19"/>
    <w:bookmarkStart w:id="22" w:name="Xc648234fa2a56430cde3052d9e732aacdc290e7"/>
    <w:p>
      <w:pPr>
        <w:pStyle w:val="Heading1"/>
      </w:pPr>
      <w:r>
        <w:t xml:space="preserve">PLATFORM 2: INHALERS ARE THE CLEAREST MATURE EXAMPLE OF THE DEVICE BECOMING PART OF THE MEDICINE</w:t>
      </w:r>
    </w:p>
    <w:p>
      <w:pPr>
        <w:pStyle w:val="FirstParagraph"/>
      </w:pPr>
      <w:r>
        <w:t xml:space="preserve">Respiratory treatment is where the idea of</w:t>
      </w:r>
      <w:r>
        <w:t xml:space="preserve"> </w:t>
      </w:r>
      <w:r>
        <w:t xml:space="preserve">“same molecule, different device”</w:t>
      </w:r>
      <w:r>
        <w:t xml:space="preserve"> </w:t>
      </w:r>
      <w:r>
        <w:t xml:space="preserve">becomes clinically inadequate. The lung offers a large absorptive surface and, more importantly for asthma and COPD, is the target organ itself. Delivering corticosteroids and bronchodilators directly to the airways can generate useful local concentration while limiting the systemic dose required.</w:t>
      </w:r>
    </w:p>
    <w:p>
      <w:pPr>
        <w:pStyle w:val="BodyText"/>
      </w:pPr>
      <w:r>
        <w:t xml:space="preserve">The difficulty is that the medicine must arrive in the right part of the lung. Particles that are too large deposit in the mouth and upper airway. Very small particles can be exhaled. The formulation must aerosolise consistently and the device must generate a repeatable aerodynamic particle-size distribution. Patient technique then becomes part of dose delivery.</w:t>
      </w:r>
    </w:p>
    <w:p>
      <w:pPr>
        <w:pStyle w:val="BodyText"/>
      </w:pPr>
      <w:r>
        <w:t xml:space="preserve">A pressurised metered-dose inhaler, or pMDI, uses propellant to generate the aerosol. It generally requires coordination between actuation and inhalation. A dry-powder inhaler, or DPI, uses the patient’s inspiratory effort to deaggregate and carry powder into the lung, which makes device resistance and inspiratory flow important. A soft-mist inhaler mechanically generates a slower-moving aerosol and can reduce the coordination burden. Nebulisers convert liquid into aerosol over a longer treatment period and remain useful where handheld-device technique is difficult. Capsule-based DPIs add a loading step but can be relatively simple mechanically.</w:t>
      </w:r>
    </w:p>
    <w:p>
      <w:pPr>
        <w:pStyle w:val="BodyText"/>
      </w:pPr>
      <w:r>
        <w:t xml:space="preserve">The engineering problem explains the generic barrier. A conventional tablet generic is principally expected to match active ingredient, dosage form, strength and bioequivalence requirements. A generic inhaler must match not only formulation but clinically relevant device performance. Dose uniformity, aerodynamic particle-size distribution, resistance, plume characteristics, actuation mechanics and patient use can matter. Manufacturing tolerances therefore affect therapeutic performance in a way they generally do not for the plastic cap on a tablet bottle. FDA maintains specific quality guidance for MDI and DPI products for this reason.</w:t>
      </w:r>
    </w:p>
    <w:p>
      <w:pPr>
        <w:pStyle w:val="BodyText"/>
      </w:pPr>
      <w:r>
        <w:t xml:space="preserve">The human-factor problem is not theoretical. A systematic review covering 54,354 subjects found correct inhaler technique in only 31% of patients. Common pMDI errors included coordination, inhalation speed/depth and failure to hold the breath. DPI users frequently failed to exhale fully before inhalation or to hold their breath afterwards. A newer COPD review finds the direction of evidence consistent with better technique supporting better outcomes, although the clinical literature remains heterogeneous and often confounded. We therefore do not claim that a preferred inhaler is automatically more efficacious. We do conclude that poor usability can prevent an efficacious molecule from being delivered correctly.</w:t>
      </w:r>
    </w:p>
    <w:bookmarkStart w:id="20" w:name="X7a82a0b7a6c8c25642c3e022065018e7f44b9b0"/>
    <w:p>
      <w:pPr>
        <w:pStyle w:val="Heading3"/>
      </w:pPr>
      <w:r>
        <w:t xml:space="preserve">Exhibit 5: Only one-third of patients demonstrate correct inhaler technique, making usability a clinical variable rather than cosmetic design</w:t>
      </w:r>
    </w:p>
    <w:p>
      <w:pPr>
        <w:pStyle w:val="FirstParagraph"/>
      </w:pPr>
      <w:r>
        <w:rPr>
          <w:b/>
          <w:bCs/>
        </w:rPr>
        <w:t xml:space="preserve">Analyst build:</w:t>
      </w:r>
      <w:r>
        <w:t xml:space="preserve"> </w:t>
      </w:r>
      <w:r>
        <w:t xml:space="preserve">Bar chart. X-axis: correct overall technique, pMDI coordination error, pMDI inspiration error, pMDI breath-hold error, DPI preparation error, DPI full-expiration error, DPI breath-hold error. Y-axis: patients exhibiting correct technique or the specified error, %. Data from the systematic review: correct technique 31%; representative common errors approximately 29-46% depending on task. Source: Chest systematic review. What it proves: a drug can be pharmacologically effective and still be delivered poorly in the real world. Investor takeaway: human-factor engineering is part of respiratory product quality.</w:t>
      </w:r>
    </w:p>
    <w:p>
      <w:pPr>
        <w:pStyle w:val="BodyText"/>
      </w:pPr>
      <w:r>
        <w:t xml:space="preserve">GSK provides the clearest global reference case. Ellipta is a common dry-powder device architecture used across multiple once-daily respiratory medicines, including Trelegy. Trelegy alone generated £3.0bn of 2025 sales. A common platform can reduce retraining, support brand familiarity and let new combinations use an established device experience. The listed GSK Pharma India entity commercialises products including Trelegy Ellipta in India, but the Ellipta platform is a global GSK capability. We would not attribute global platform IP or global respiratory economics to the Indian subsidiary.</w:t>
      </w:r>
    </w:p>
    <w:p>
      <w:pPr>
        <w:pStyle w:val="BodyText"/>
      </w:pPr>
      <w:r>
        <w:t xml:space="preserve">For Indian pharma, the regulated-market proof is concentrated.</w:t>
      </w:r>
      <w:r>
        <w:t xml:space="preserve"> </w:t>
      </w:r>
      <w:r>
        <w:rPr>
          <w:b/>
          <w:bCs/>
        </w:rPr>
        <w:t xml:space="preserve">Lupin has the strongest strategic respiratory position among our preferred stocks.</w:t>
      </w:r>
      <w:r>
        <w:t xml:space="preserve"> </w:t>
      </w:r>
      <w:r>
        <w:t xml:space="preserve">The company has dedicated inhalation R&amp;D, markets MDIs and DPIs, and continues to develop next-generation pMDIs. Its successful tiotropium and albuterol programmes demonstrate that this is not simply an India-branded respiratory portfolio.</w:t>
      </w:r>
    </w:p>
    <w:p>
      <w:pPr>
        <w:pStyle w:val="BodyText"/>
      </w:pPr>
      <w:r>
        <w:t xml:space="preserve">Cipla also has deep respiratory manufacturing and regulatory experience. FDA approved Cipla’s generic Proventil HFA albuterol in 2020 and a generic Ventolin HFA product in 2026. A previous valve-leakage recall on albuterol aerosol is equally informative for this note: container valves and device robustness are not ancillary manufacturing details when they determine whether a pressurised inhaler retains and delivers its labelled dose.</w:t>
      </w:r>
    </w:p>
    <w:p>
      <w:pPr>
        <w:pStyle w:val="BodyText"/>
      </w:pPr>
      <w:r>
        <w:t xml:space="preserve">Glenmark has also built a genuine aerosol platform. FDA approved its first generic Flovent HFA 44 mcg product in March 2026, while its disclosed R&amp;D and manufacturing network includes MDI, DPI, nebuliser and nasal technologies. Its India digital-inhaler work adds a usability layer, although connectivity alone does not create a clinical moat if the core aerosol product is undifferentiated.</w:t>
      </w:r>
    </w:p>
    <w:p>
      <w:pPr>
        <w:pStyle w:val="BodyText"/>
      </w:pPr>
      <w:r>
        <w:t xml:space="preserve">Zydus has inhaler manufacturing capability as part of its broader complex-formulation network, but public evidence gives us less reason to rank it alongside Lupin, Cipla and Glenmark for regulated-market respiratory commercial depth today.</w:t>
      </w:r>
    </w:p>
    <w:bookmarkEnd w:id="20"/>
    <w:bookmarkStart w:id="21" w:name="X90bc4c709a962256410c2d3aaa81ff351f9bf7a"/>
    <w:p>
      <w:pPr>
        <w:pStyle w:val="Heading3"/>
      </w:pPr>
      <w:r>
        <w:t xml:space="preserve">Exhibit 6: Indian respiratory capability is real, but regulated-market proof is concentrated in Lupin, Cipla and Glenmark</w:t>
      </w:r>
    </w:p>
    <w:p>
      <w:pPr>
        <w:pStyle w:val="FirstParagraph"/>
      </w:pPr>
      <w:r>
        <w:rPr>
          <w:b/>
          <w:bCs/>
        </w:rPr>
        <w:t xml:space="preserve">Analyst build:</w:t>
      </w:r>
      <w:r>
        <w:t xml:space="preserve"> </w:t>
      </w:r>
      <w:r>
        <w:t xml:space="preserve">Capability matrix. X-axis: company. Y-axis: pMDI, DPI, nasal/nebuliser, US/EU approval track record, device/formulation R&amp;D, digital/connected capability. Cells: Owned / Partnered / Commercial only / Not identified. Companies: Lupin, Cipla, Glenmark, Zydus and GSK Pharma India. Sources: company reports, FDA approvals and GSK disclosures. What it proves:</w:t>
      </w:r>
      <w:r>
        <w:t xml:space="preserve"> </w:t>
      </w:r>
      <w:r>
        <w:t xml:space="preserve">“respiratory exposure”</w:t>
      </w:r>
      <w:r>
        <w:t xml:space="preserve"> </w:t>
      </w:r>
      <w:r>
        <w:t xml:space="preserve">can mean very different things. Investor takeaway: we place more value on companies that can develop and register the formulation-device combination than on those that only sell a parent’s inhaler.</w:t>
      </w:r>
    </w:p>
    <w:p>
      <w:r>
        <w:pict>
          <v:rect style="width:0;height:1.5pt" o:hralign="center" o:hrstd="t" o:hr="t"/>
        </w:pict>
      </w:r>
    </w:p>
    <w:bookmarkEnd w:id="21"/>
    <w:bookmarkEnd w:id="22"/>
    <w:bookmarkStart w:id="25" w:name="X1e891e6bf513b17053e161f504f82feffb34e5e"/>
    <w:p>
      <w:pPr>
        <w:pStyle w:val="Heading1"/>
      </w:pPr>
      <w:r>
        <w:t xml:space="preserve">PLATFORM 3: TRANSDERMAL DELIVERY WORKS WHEN CONTROLLED EXPOSURE MATTERS MORE THAN A HIGH PEAK</w:t>
      </w:r>
    </w:p>
    <w:p>
      <w:pPr>
        <w:pStyle w:val="FirstParagraph"/>
      </w:pPr>
      <w:r>
        <w:t xml:space="preserve">The skin is an attractive delivery surface and a difficult biological barrier. Its outer stratum corneum is designed to keep foreign material out and water in. Most large or highly hydrophilic molecules therefore cross intact skin poorly. Passive transdermal delivery works best for potent molecules with favourable molecular size and lipophilicity because the amount crossing the skin per unit area and time, or flux, is limited.</w:t>
      </w:r>
    </w:p>
    <w:p>
      <w:pPr>
        <w:pStyle w:val="BodyText"/>
      </w:pPr>
      <w:r>
        <w:t xml:space="preserve">When the molecule fits, the pharmacokinetic advantage can be useful. An oral tablet can create a relatively rapid rise in plasma concentration followed by a decline as the drug is distributed and eliminated. A patch can release drug more gradually, reducing peak-to-trough variability and avoiding gastrointestinal absorption and much of first-pass hepatic metabolism. That is useful when prolonged exposure is more important than rapid onset.</w:t>
      </w:r>
    </w:p>
    <w:p>
      <w:pPr>
        <w:pStyle w:val="BodyText"/>
      </w:pPr>
      <w:r>
        <w:t xml:space="preserve">This logic has worked in nicotine replacement, hormone therapy, pain, Parkinson’s disease and dementia, among other areas. It does not mean transdermal is inherently safer. Skin reactions, adhesion, residual drug in the patch, heat effects on absorption and accidental transfer can matter. High-dose molecules are also difficult because the skin can only transmit so much material.</w:t>
      </w:r>
    </w:p>
    <w:bookmarkStart w:id="23" w:name="X85ee75666986a440976e032f522e461d48259ee"/>
    <w:p>
      <w:pPr>
        <w:pStyle w:val="Heading3"/>
      </w:pPr>
      <w:r>
        <w:t xml:space="preserve">Exhibit 7: Transdermal delivery can flatten peak-to-trough exposure, but the skin barrier excludes most molecules</w:t>
      </w:r>
    </w:p>
    <w:p>
      <w:pPr>
        <w:pStyle w:val="FirstParagraph"/>
      </w:pPr>
      <w:r>
        <w:rPr>
          <w:b/>
          <w:bCs/>
        </w:rPr>
        <w:t xml:space="preserve">Analyst build:</w:t>
      </w:r>
      <w:r>
        <w:t xml:space="preserve"> </w:t>
      </w:r>
      <w:r>
        <w:t xml:space="preserve">Conceptual pharmacokinetic chart. X-axis: time after dose, hours. Y-axis: relative plasma concentration, no numerical scale. Series: oral immediate-release and transdermal delivery. Oral curve rises sharply and declines; patch curve rises more gradually and maintains a narrower range. Add a side box with candidate characteristics: potent dose, relatively small molecule, adequate lipophilicity, acceptable skin permeability. Source: pharmacology review. Mark clearly</w:t>
      </w:r>
      <w:r>
        <w:t xml:space="preserve"> </w:t>
      </w:r>
      <w:r>
        <w:t xml:space="preserve">“schematic, not to scale”</w:t>
      </w:r>
      <w:r>
        <w:t xml:space="preserve">. What it proves: the value comes from the shape and duration of exposure, not simply avoiding a tablet. Investor takeaway: transdermal is a molecule-selection problem before it is a device problem.</w:t>
      </w:r>
    </w:p>
    <w:p>
      <w:pPr>
        <w:pStyle w:val="BodyText"/>
      </w:pPr>
      <w:r>
        <w:t xml:space="preserve">Advanced transdermal technologies try to relax the skin constraint. Microneedles create microscopic channels through the barrier. Dissolvable microneedles can deposit drug as the microneedle matrix dissolves. Iontophoresis uses electrical current to increase transport of charged molecules. Electroporation briefly increases membrane permeability. These approaches can broaden the molecule set, but they also add device complexity, manufacturing steps and regulatory requirements. Most should therefore be thought of as targeted technologies rather than evidence that the skin will become a universal replacement for injection.</w:t>
      </w:r>
    </w:p>
    <w:p>
      <w:pPr>
        <w:pStyle w:val="BodyText"/>
      </w:pPr>
      <w:r>
        <w:t xml:space="preserve">Transmucosal routes solve a different problem and should not be grouped mechanically with patches. Buccal and sublingual surfaces are highly vascular and can allow rapid absorption with partial or substantial avoidance of gastrointestinal processing. Nasal delivery can support rapid systemic absorption or local nasal action. Vaginal delivery can provide local or systemic hormone exposure. Rectal delivery can be valuable when swallowing is difficult or local treatment is needed, although absorption is variable. The common theme is use of a permeable mucosal surface. The biology and device requirements differ by route.</w:t>
      </w:r>
    </w:p>
    <w:p>
      <w:pPr>
        <w:pStyle w:val="BodyText"/>
      </w:pPr>
      <w:r>
        <w:t xml:space="preserve">For India, Zydus has the clearest listed-pharma evidence we found of a current, regulated transdermal platform. It operates a dedicated transdermal facility and has US approvals for estradiol and a norelgestromin/ethinyl estradiol transdermal system. That is more persuasive than a development paper or an isolated product sourced from a third party.</w:t>
      </w:r>
    </w:p>
    <w:p>
      <w:pPr>
        <w:pStyle w:val="BodyText"/>
      </w:pPr>
      <w:r>
        <w:t xml:space="preserve">We specifically tested the hypothesis that Torrent should be viewed as a major transdermal company.</w:t>
      </w:r>
      <w:r>
        <w:t xml:space="preserve"> </w:t>
      </w:r>
      <w:r>
        <w:rPr>
          <w:b/>
          <w:bCs/>
        </w:rPr>
        <w:t xml:space="preserve">We do not find enough current public evidence to support it.</w:t>
      </w:r>
      <w:r>
        <w:t xml:space="preserve"> </w:t>
      </w:r>
      <w:r>
        <w:t xml:space="preserve">Torrent discloses work across parenteral, long-acting injectable, ophthalmic and nasal modalities, and it markets selected prefilled injectable products. An old academic publication involving a Torrent developer on transdermal bupropion is not evidence of a current commercial patch franchise. We therefore classify Torrent’s meaningful current transdermal capability as</w:t>
      </w:r>
      <w:r>
        <w:t xml:space="preserve"> </w:t>
      </w:r>
      <w:r>
        <w:t xml:space="preserve">“not identified”</w:t>
      </w:r>
      <w:r>
        <w:t xml:space="preserve">, rather than forcing the conclusion.</w:t>
      </w:r>
    </w:p>
    <w:bookmarkEnd w:id="23"/>
    <w:bookmarkStart w:id="24" w:name="X902c2f4a73994282f5647b6338857f3d7e32971"/>
    <w:p>
      <w:pPr>
        <w:pStyle w:val="Heading3"/>
      </w:pPr>
      <w:r>
        <w:t xml:space="preserve">Exhibit 8: Zydus has a current regulated transdermal franchise; we do not find the same evidence for Torrent</w:t>
      </w:r>
    </w:p>
    <w:p>
      <w:pPr>
        <w:pStyle w:val="FirstParagraph"/>
      </w:pPr>
      <w:r>
        <w:rPr>
          <w:b/>
          <w:bCs/>
        </w:rPr>
        <w:t xml:space="preserve">Analyst build:</w:t>
      </w:r>
      <w:r>
        <w:t xml:space="preserve"> </w:t>
      </w:r>
      <w:r>
        <w:t xml:space="preserve">Two-column evidence table. Rows: dedicated facility, US/EU transdermal approvals, current marketed patch portfolio, disclosed transdermal R&amp;D, device/formulation manufacturing. Columns: Zydus and Torrent. Use</w:t>
      </w:r>
      <w:r>
        <w:t xml:space="preserve"> </w:t>
      </w:r>
      <w:r>
        <w:t xml:space="preserve">“Yes / Not identified”</w:t>
      </w:r>
      <w:r>
        <w:t xml:space="preserve"> </w:t>
      </w:r>
      <w:r>
        <w:t xml:space="preserve">only where evidence supports it. Sources: Zydus manufacturing disclosures, US approvals, Torrent R&amp;D disclosures. What it proves: historical scientific capability is not the same as a current investable franchise. Investor takeaway: Zydus receives a genuine theme credit; Torrent does not today.</w:t>
      </w:r>
    </w:p>
    <w:p>
      <w:r>
        <w:pict>
          <v:rect style="width:0;height:1.5pt" o:hralign="center" o:hrstd="t" o:hr="t"/>
        </w:pict>
      </w:r>
    </w:p>
    <w:bookmarkEnd w:id="24"/>
    <w:bookmarkEnd w:id="25"/>
    <w:bookmarkStart w:id="28" w:name="Xef96bb2cc40b20d45881b4c2685a13b3c388bdc"/>
    <w:p>
      <w:pPr>
        <w:pStyle w:val="Heading1"/>
      </w:pPr>
      <w:r>
        <w:t xml:space="preserve">PLATFORM 4: CONTRACEPTION SHOWS WHY DURATION AND USER DEPENDENCE CAN MATTER AS MUCH AS THE MOLECULE</w:t>
      </w:r>
    </w:p>
    <w:p>
      <w:pPr>
        <w:pStyle w:val="FirstParagraph"/>
      </w:pPr>
      <w:r>
        <w:t xml:space="preserve">Contraception is one of the cleanest demonstrations of drug delivery changing real-world outcomes without requiring a new biological mechanism. A daily oral contraceptive can be highly effective when taken correctly. The problem is that real patients forget doses, stop treatment or use it inconsistently. Long-acting reversible contraception, or LARC, reduces the number of decisions a patient must make.</w:t>
      </w:r>
    </w:p>
    <w:p>
      <w:pPr>
        <w:pStyle w:val="BodyText"/>
      </w:pPr>
      <w:r>
        <w:t xml:space="preserve">The spectrum runs from daily pills to periodic injections, implants, hormonal and copper IUDs, vaginal rings and patches. The clinical comparison therefore needs to distinguish biological efficacy from typical-use effectiveness. CDC estimates typical-use failure at roughly 7% for combined hormonal methods including the pill, patch and ring, around 4% for injectable contraception, around 0.1% for the implant and 0.1-0.8% for IUDs depending on type. The molecule is only part of this difference.</w:t>
      </w:r>
      <w:r>
        <w:t xml:space="preserve"> </w:t>
      </w:r>
      <w:r>
        <w:rPr>
          <w:b/>
          <w:bCs/>
        </w:rPr>
        <w:t xml:space="preserve">Removing repeated user action is itself a delivery technology.</w:t>
      </w:r>
    </w:p>
    <w:p>
      <w:pPr>
        <w:pStyle w:val="BodyText"/>
      </w:pPr>
      <w:r>
        <w:t xml:space="preserve">Nexplanon is the most useful commercial case study. It is a radiopaque subdermal implant containing etonogestrel. A trained healthcare professional inserts the rod under the skin and later removes it. In January 2026, FDA extended the labelled duration in the US from three to five years after a study reported no pregnancies during years four and five and no new safety signal. This changes the product economically and clinically: one procedure now provides contraception for longer.</w:t>
      </w:r>
    </w:p>
    <w:p>
      <w:pPr>
        <w:pStyle w:val="BodyText"/>
      </w:pPr>
      <w:r>
        <w:t xml:space="preserve">The commercial consequence is more nuanced than</w:t>
      </w:r>
      <w:r>
        <w:t xml:space="preserve"> </w:t>
      </w:r>
      <w:r>
        <w:t xml:space="preserve">“longer is better”</w:t>
      </w:r>
      <w:r>
        <w:t xml:space="preserve">. Organon generated US$921m from Nexplanon/Implanon NXT in 2025. In Q1 2026, Nexplanon sales declined 21% excluding currency, with the company pointing partly to delayed reinsertions following the five-year label.</w:t>
      </w:r>
      <w:r>
        <w:t xml:space="preserve"> </w:t>
      </w:r>
      <w:r>
        <w:rPr>
          <w:b/>
          <w:bCs/>
        </w:rPr>
        <w:t xml:space="preserve">The same innovation that improves patient value can defer replacement revenue.</w:t>
      </w:r>
      <w:r>
        <w:t xml:space="preserve"> </w:t>
      </w:r>
      <w:r>
        <w:t xml:space="preserve">That is exactly the kind of delivery read-through investors should care about.</w:t>
      </w:r>
    </w:p>
    <w:bookmarkStart w:id="26" w:name="Xe50c6f82f1b8bb2610f3f9d863a2cef84da70e0"/>
    <w:p>
      <w:pPr>
        <w:pStyle w:val="Heading3"/>
      </w:pPr>
      <w:r>
        <w:t xml:space="preserve">Exhibit 9: Long-acting contraception converts repeated adherence into multi-year persistence</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Method</w:t>
            </w:r>
          </w:p>
        </w:tc>
        <w:tc>
          <w:tcPr/>
          <w:p>
            <w:pPr>
              <w:pStyle w:val="Compact"/>
              <w:jc w:val="right"/>
            </w:pPr>
            <w:r>
              <w:t xml:space="preserve">Typical-use failure</w:t>
            </w:r>
          </w:p>
        </w:tc>
        <w:tc>
          <w:tcPr/>
          <w:p>
            <w:pPr>
              <w:pStyle w:val="Compact"/>
            </w:pPr>
            <w:r>
              <w:t xml:space="preserve">Typical user action</w:t>
            </w:r>
          </w:p>
        </w:tc>
        <w:tc>
          <w:tcPr/>
          <w:p>
            <w:pPr>
              <w:pStyle w:val="Compact"/>
            </w:pPr>
            <w:r>
              <w:t xml:space="preserve">Duration / frequency</w:t>
            </w:r>
          </w:p>
        </w:tc>
      </w:tr>
      <w:tr>
        <w:tc>
          <w:tcPr/>
          <w:p>
            <w:pPr>
              <w:pStyle w:val="Compact"/>
            </w:pPr>
            <w:r>
              <w:t xml:space="preserve">Oral contraceptive</w:t>
            </w:r>
          </w:p>
        </w:tc>
        <w:tc>
          <w:tcPr/>
          <w:p>
            <w:pPr>
              <w:pStyle w:val="Compact"/>
              <w:jc w:val="right"/>
            </w:pPr>
            <w:r>
              <w:t xml:space="preserve">~7%</w:t>
            </w:r>
          </w:p>
        </w:tc>
        <w:tc>
          <w:tcPr/>
          <w:p>
            <w:pPr>
              <w:pStyle w:val="Compact"/>
            </w:pPr>
            <w:r>
              <w:t xml:space="preserve">Daily</w:t>
            </w:r>
          </w:p>
        </w:tc>
        <w:tc>
          <w:tcPr/>
          <w:p>
            <w:pPr>
              <w:pStyle w:val="Compact"/>
            </w:pPr>
            <w:r>
              <w:t xml:space="preserve">Daily</w:t>
            </w:r>
          </w:p>
        </w:tc>
      </w:tr>
      <w:tr>
        <w:tc>
          <w:tcPr/>
          <w:p>
            <w:pPr>
              <w:pStyle w:val="Compact"/>
            </w:pPr>
            <w:r>
              <w:t xml:space="preserve">Injectable</w:t>
            </w:r>
          </w:p>
        </w:tc>
        <w:tc>
          <w:tcPr/>
          <w:p>
            <w:pPr>
              <w:pStyle w:val="Compact"/>
              <w:jc w:val="right"/>
            </w:pPr>
            <w:r>
              <w:t xml:space="preserve">~4%</w:t>
            </w:r>
          </w:p>
        </w:tc>
        <w:tc>
          <w:tcPr/>
          <w:p>
            <w:pPr>
              <w:pStyle w:val="Compact"/>
            </w:pPr>
            <w:r>
              <w:t xml:space="preserve">Repeat administration</w:t>
            </w:r>
          </w:p>
        </w:tc>
        <w:tc>
          <w:tcPr/>
          <w:p>
            <w:pPr>
              <w:pStyle w:val="Compact"/>
            </w:pPr>
            <w:r>
              <w:t xml:space="preserve">Typically every few months</w:t>
            </w:r>
          </w:p>
        </w:tc>
      </w:tr>
      <w:tr>
        <w:tc>
          <w:tcPr/>
          <w:p>
            <w:pPr>
              <w:pStyle w:val="Compact"/>
            </w:pPr>
            <w:r>
              <w:t xml:space="preserve">Etonogestrel implant</w:t>
            </w:r>
          </w:p>
        </w:tc>
        <w:tc>
          <w:tcPr/>
          <w:p>
            <w:pPr>
              <w:pStyle w:val="Compact"/>
              <w:jc w:val="right"/>
            </w:pPr>
            <w:r>
              <w:t xml:space="preserve">~0.1%</w:t>
            </w:r>
          </w:p>
        </w:tc>
        <w:tc>
          <w:tcPr/>
          <w:p>
            <w:pPr>
              <w:pStyle w:val="Compact"/>
            </w:pPr>
            <w:r>
              <w:t xml:space="preserve">HCP insertion/removal</w:t>
            </w:r>
          </w:p>
        </w:tc>
        <w:tc>
          <w:tcPr/>
          <w:p>
            <w:pPr>
              <w:pStyle w:val="Compact"/>
            </w:pPr>
            <w:r>
              <w:t xml:space="preserve">Nexplanon up to 5 years in US</w:t>
            </w:r>
          </w:p>
        </w:tc>
      </w:tr>
      <w:tr>
        <w:tc>
          <w:tcPr/>
          <w:p>
            <w:pPr>
              <w:pStyle w:val="Compact"/>
            </w:pPr>
            <w:r>
              <w:t xml:space="preserve">Hormonal IUD</w:t>
            </w:r>
          </w:p>
        </w:tc>
        <w:tc>
          <w:tcPr/>
          <w:p>
            <w:pPr>
              <w:pStyle w:val="Compact"/>
              <w:jc w:val="right"/>
            </w:pPr>
            <w:r>
              <w:t xml:space="preserve">~0.1-0.4%</w:t>
            </w:r>
          </w:p>
        </w:tc>
        <w:tc>
          <w:tcPr/>
          <w:p>
            <w:pPr>
              <w:pStyle w:val="Compact"/>
            </w:pPr>
            <w:r>
              <w:t xml:space="preserve">HCP insertion/removal</w:t>
            </w:r>
          </w:p>
        </w:tc>
        <w:tc>
          <w:tcPr/>
          <w:p>
            <w:pPr>
              <w:pStyle w:val="Compact"/>
            </w:pPr>
            <w:r>
              <w:t xml:space="preserve">Multi-year</w:t>
            </w:r>
          </w:p>
        </w:tc>
      </w:tr>
      <w:tr>
        <w:tc>
          <w:tcPr/>
          <w:p>
            <w:pPr>
              <w:pStyle w:val="Compact"/>
            </w:pPr>
            <w:r>
              <w:t xml:space="preserve">Copper IUD</w:t>
            </w:r>
          </w:p>
        </w:tc>
        <w:tc>
          <w:tcPr/>
          <w:p>
            <w:pPr>
              <w:pStyle w:val="Compact"/>
              <w:jc w:val="right"/>
            </w:pPr>
            <w:r>
              <w:t xml:space="preserve">~0.8%</w:t>
            </w:r>
          </w:p>
        </w:tc>
        <w:tc>
          <w:tcPr/>
          <w:p>
            <w:pPr>
              <w:pStyle w:val="Compact"/>
            </w:pPr>
            <w:r>
              <w:t xml:space="preserve">HCP insertion/removal</w:t>
            </w:r>
          </w:p>
        </w:tc>
        <w:tc>
          <w:tcPr/>
          <w:p>
            <w:pPr>
              <w:pStyle w:val="Compact"/>
            </w:pPr>
            <w:r>
              <w:t xml:space="preserve">Multi-year</w:t>
            </w:r>
          </w:p>
        </w:tc>
      </w:tr>
    </w:tbl>
    <w:p>
      <w:pPr>
        <w:pStyle w:val="BodyText"/>
      </w:pPr>
      <w:r>
        <w:rPr>
          <w:b/>
          <w:bCs/>
        </w:rPr>
        <w:t xml:space="preserve">Analyst build:</w:t>
      </w:r>
      <w:r>
        <w:t xml:space="preserve"> </w:t>
      </w:r>
      <w:r>
        <w:t xml:space="preserve">Comparison table. Units: typical-use failure %, frequency/duration. Sources: CDC for failure rates; current Organon label for Nexplanon duration. What it proves: method performance in real life is partly a behavioural-delivery issue. Investor takeaway: the implant’s commercial differentiation comes from duration, reversibility and low user dependence, not from a uniquely novel hormone.</w:t>
      </w:r>
    </w:p>
    <w:bookmarkEnd w:id="26"/>
    <w:bookmarkStart w:id="27" w:name="X2327773d0da5066c4434c05bfcbfdaba53c9e9f"/>
    <w:p>
      <w:pPr>
        <w:pStyle w:val="Heading3"/>
      </w:pPr>
      <w:r>
        <w:t xml:space="preserve">Exhibit 10: Nexplanon’s five-year label strengthens the product but can delay reinsertion revenue</w:t>
      </w:r>
    </w:p>
    <w:p>
      <w:pPr>
        <w:pStyle w:val="FirstParagraph"/>
      </w:pPr>
      <w:r>
        <w:rPr>
          <w:b/>
          <w:bCs/>
        </w:rPr>
        <w:t xml:space="preserve">Analyst build:</w:t>
      </w:r>
      <w:r>
        <w:t xml:space="preserve"> </w:t>
      </w:r>
      <w:r>
        <w:t xml:space="preserve">Left side bar chart: Nexplanon sales 2024 US$963m and 2025 US</w:t>
      </w:r>
      <m:oMath>
        <m:r>
          <m:t>921</m:t>
        </m:r>
        <m:r>
          <m:t>m</m:t>
        </m:r>
        <m:r>
          <m:rPr>
            <m:sty m:val="p"/>
          </m:rPr>
          <m:t>.</m:t>
        </m:r>
        <m:r>
          <m:t>R</m:t>
        </m:r>
        <m:r>
          <m:t>i</m:t>
        </m:r>
        <m:r>
          <m:t>g</m:t>
        </m:r>
        <m:r>
          <m:t>h</m:t>
        </m:r>
        <m:r>
          <m:t>t</m:t>
        </m:r>
        <m:r>
          <m:t>s</m:t>
        </m:r>
        <m:r>
          <m:t>i</m:t>
        </m:r>
        <m:r>
          <m:t>d</m:t>
        </m:r>
        <m:r>
          <m:t>e</m:t>
        </m:r>
        <m:r>
          <m:t>c</m:t>
        </m:r>
        <m:r>
          <m:t>a</m:t>
        </m:r>
        <m:r>
          <m:t>l</m:t>
        </m:r>
        <m:r>
          <m:t>l</m:t>
        </m:r>
        <m:r>
          <m:t>o</m:t>
        </m:r>
        <m:r>
          <m:t>u</m:t>
        </m:r>
        <m:r>
          <m:t>t</m:t>
        </m:r>
        <m:r>
          <m:rPr>
            <m:sty m:val="p"/>
          </m:rPr>
          <m:t>:</m:t>
        </m:r>
        <m:r>
          <m:t>Q</m:t>
        </m:r>
        <m:r>
          <m:t>1</m:t>
        </m:r>
        <m:r>
          <m:t>2026</m:t>
        </m:r>
        <m:r>
          <m:t>s</m:t>
        </m:r>
        <m:r>
          <m:t>a</m:t>
        </m:r>
        <m:r>
          <m:t>l</m:t>
        </m:r>
        <m:r>
          <m:t>e</m:t>
        </m:r>
        <m:r>
          <m:t>s</m:t>
        </m:r>
        <m:r>
          <m:rPr>
            <m:sty m:val="p"/>
          </m:rPr>
          <m:t>−</m:t>
        </m:r>
        <m:r>
          <m:t>21</m:t>
        </m:r>
      </m:oMath>
      <w:r>
        <w:t xml:space="preserve">m for annual bars; Q1 growth in callout. Source: Organon filings. What it proves: longer product duration can improve the consumer proposition while shifting revenue timing. Investor takeaway: duration is both a moat and a replacement-cycle variable.</w:t>
      </w:r>
    </w:p>
    <w:p>
      <w:pPr>
        <w:pStyle w:val="BodyText"/>
      </w:pPr>
      <w:r>
        <w:t xml:space="preserve">India is structurally different. NFHS-5 shows contraceptive use remains heavily skewed toward female sterilisation. Roughly 66.7% of married women aged 15-49 reported use of any contraceptive method, with female sterilisation at 37.9%, condoms around 9.5%, pills around 5% and IUDs around 2%. Single-rod contraceptive implants are only beginning to enter public programmes in selected states. UNFPA has supported rollout work in Rajasthan and Odisha, including DMPA-SC and implant services. We therefore see</w:t>
      </w:r>
      <w:r>
        <w:t xml:space="preserve"> </w:t>
      </w:r>
      <w:r>
        <w:rPr>
          <w:b/>
          <w:bCs/>
        </w:rPr>
        <w:t xml:space="preserve">large theoretical clinical headroom but limited evidence for a near-term, large branded implant market in India.</w:t>
      </w:r>
    </w:p>
    <w:p>
      <w:pPr>
        <w:pStyle w:val="BodyText"/>
      </w:pPr>
      <w:r>
        <w:t xml:space="preserve">We would not manufacture an India market-size number from a generic market-research report. A transparent model is more useful:</w:t>
      </w:r>
    </w:p>
    <w:p>
      <w:pPr>
        <w:pStyle w:val="BodyText"/>
      </w:pPr>
      <w:r>
        <w:rPr>
          <w:b/>
          <w:bCs/>
        </w:rPr>
        <w:t xml:space="preserve">Bernstein India implant opportunity = women of reproductive age × modern contraceptive use × reversible-method share × implant adoption × annualised implant value.</w:t>
      </w:r>
    </w:p>
    <w:p>
      <w:pPr>
        <w:pStyle w:val="BodyText"/>
      </w:pPr>
      <w:r>
        <w:t xml:space="preserve">The first two variables can be sourced. Implant adoption and commercial pricing are not yet stable enough nationally to justify false precision. The appropriate investor conclusion today is underpenetration, not a precise multi-billion-rupee forecast.</w:t>
      </w:r>
    </w:p>
    <w:p>
      <w:pPr>
        <w:pStyle w:val="BodyText"/>
      </w:pPr>
      <w:r>
        <w:t xml:space="preserve">Organon’s broader women’s-health position also matters. It recently licensed MIUDELLA, a hormone-free copper IUD with a preloaded inserter. The product is licensed rather than internally invented, which again shows why ownership classification matters. The value can still sit in regulatory execution, HCP training and commercial scale even when the underlying device comes from a partner.</w:t>
      </w:r>
    </w:p>
    <w:p>
      <w:r>
        <w:pict>
          <v:rect style="width:0;height:1.5pt" o:hralign="center" o:hrstd="t" o:hr="t"/>
        </w:pict>
      </w:r>
    </w:p>
    <w:bookmarkEnd w:id="27"/>
    <w:bookmarkEnd w:id="28"/>
    <w:bookmarkStart w:id="31" w:name="Xaeacf67a17395e9a0a325ecde1a9428e7e36dd8"/>
    <w:p>
      <w:pPr>
        <w:pStyle w:val="Heading1"/>
      </w:pPr>
      <w:r>
        <w:t xml:space="preserve">PLATFORM 5: GLP-1 AND BIOLOGICS ARE TURNING SELF-INJECTION INTO A MASS-MARKET DELIVERY FORMAT</w:t>
      </w:r>
    </w:p>
    <w:p>
      <w:pPr>
        <w:pStyle w:val="FirstParagraph"/>
      </w:pPr>
      <w:r>
        <w:t xml:space="preserve">Injection devices form a hierarchy because each removes a different amount of work from the patient. A vial and syringe are inexpensive but require dose preparation and visible needle handling. A prefilled syringe removes preparation. A reusable pen adds a dose mechanism around a replaceable cartridge. A disposable multi-dose pen puts the cartridge and mechanism into one product. A single-dose autoinjector can conceal the needle and reduce administration to a small number of actions.</w:t>
      </w:r>
    </w:p>
    <w:p>
      <w:pPr>
        <w:pStyle w:val="BodyText"/>
      </w:pPr>
      <w:r>
        <w:t xml:space="preserve">The clinical benefit is often convenience rather than new pharmacology. A weekly semaglutide dose delivered by an easier pen has the same active molecule as semaglutide delivered through a less convenient compatible system. Yet at chronic scale, convenience can affect initiation, persistence and willingness to self-administer. The device may also determine whether treatment can move out of a clinic.</w:t>
      </w:r>
    </w:p>
    <w:p>
      <w:pPr>
        <w:pStyle w:val="BodyText"/>
      </w:pPr>
      <w:r>
        <w:t xml:space="preserve">The GLP-1 market has made this economically visible. Lilly’s Mounjaro and Zepbound generated approximately US$36.5bn of combined 2025 sales. Novo Nordisk generated DKK289.5bn from diabetes and obesity care. A delivery format that affects the usability of franchises of this scale cannot be dismissed as packaging.</w:t>
      </w:r>
    </w:p>
    <w:p>
      <w:pPr>
        <w:pStyle w:val="BodyText"/>
      </w:pPr>
      <w:r>
        <w:t xml:space="preserve">There is also no single winning pen architecture. Novo has long used disposable prefilled platforms such as FlexTouch. Lilly now offers Zepbound in several formats across markets, including single-dose pens, vials and a four-dose single-patient KwikPen. Reusable cartridge systems remain common in insulin and can make particular sense in markets where device cost and plastic waste matter more.</w:t>
      </w:r>
    </w:p>
    <w:p>
      <w:pPr>
        <w:pStyle w:val="BodyText"/>
      </w:pPr>
      <w:r>
        <w:t xml:space="preserve">India in 2026 is becoming a useful natural experiment. The supplied July 2026 India GLP-1 work already shows that the market is segmenting across pens, oral products, cartridges and vials rather than converging immediately on the lowest-priced format. It also shows that innovator products retained material value share even after generic semaglutide entry. Device familiarity, convenience, price and brand therefore appear to be segmenting the patient pool.</w:t>
      </w:r>
    </w:p>
    <w:p>
      <w:pPr>
        <w:pStyle w:val="BodyText"/>
      </w:pPr>
      <w:r>
        <w:t xml:space="preserve">Zydus and Lupin illustrate why we separate ownership from marketing. Zydus developed the 15 mg/3 mL semaglutide product with a reusable pen and markets the platform under its own brands. Lupin obtained semi-exclusive co-marketing rights and sells it under Semanext and Livarise.</w:t>
      </w:r>
      <w:r>
        <w:t xml:space="preserve"> </w:t>
      </w:r>
      <w:r>
        <w:rPr>
          <w:b/>
          <w:bCs/>
        </w:rPr>
        <w:t xml:space="preserve">The same physical product can therefore represent platform control for one company and licensed commercial access for another.</w:t>
      </w:r>
    </w:p>
    <w:p>
      <w:pPr>
        <w:pStyle w:val="BodyText"/>
      </w:pPr>
      <w:r>
        <w:t xml:space="preserve">Sun represents a third model. Its March 2026 India launches use a concealed-needle prefilled pen and a multidose pen, but Sun states that the pens were developed by leading global device suppliers and manufactured in Europe. Sun owns the commercial drug proposition. Public disclosure does not support crediting it with the delivery-device engineering.</w:t>
      </w:r>
    </w:p>
    <w:p>
      <w:pPr>
        <w:pStyle w:val="BodyText"/>
      </w:pPr>
      <w:r>
        <w:t xml:space="preserve">Biocon adds a fourth model. It has manufactured cartridges, prefilled systems and reusable/disposable insulin pens, and has operated dedicated device-manufacturing capacity. Yet historical pen development has involved specialist partners including Haselmeier and BD. This is a credible manufacturing and integration capability, but it again demonstrates that a pharma company can manufacture the device without having independently invented the full architecture.</w:t>
      </w:r>
    </w:p>
    <w:bookmarkStart w:id="29" w:name="X885f7c9e0fd3fbf99a4160a15c0f13197b86611"/>
    <w:p>
      <w:pPr>
        <w:pStyle w:val="Heading3"/>
      </w:pPr>
      <w:r>
        <w:t xml:space="preserve">Exhibit 11: GLP-1 is already a delivery-format market, not one pen architecture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 / product</w:t>
            </w:r>
          </w:p>
        </w:tc>
        <w:tc>
          <w:tcPr/>
          <w:p>
            <w:pPr>
              <w:pStyle w:val="Compact"/>
            </w:pPr>
            <w:r>
              <w:t xml:space="preserve">Molecule</w:t>
            </w:r>
          </w:p>
        </w:tc>
        <w:tc>
          <w:tcPr/>
          <w:p>
            <w:pPr>
              <w:pStyle w:val="Compact"/>
            </w:pPr>
            <w:r>
              <w:t xml:space="preserve">Frequency</w:t>
            </w:r>
          </w:p>
        </w:tc>
        <w:tc>
          <w:tcPr/>
          <w:p>
            <w:pPr>
              <w:pStyle w:val="Compact"/>
            </w:pPr>
            <w:r>
              <w:t xml:space="preserve">Device format</w:t>
            </w:r>
          </w:p>
        </w:tc>
        <w:tc>
          <w:tcPr/>
          <w:p>
            <w:pPr>
              <w:pStyle w:val="Compact"/>
            </w:pPr>
            <w:r>
              <w:t xml:space="preserve">Device control</w:t>
            </w:r>
          </w:p>
        </w:tc>
      </w:tr>
      <w:tr>
        <w:tc>
          <w:tcPr/>
          <w:p>
            <w:pPr>
              <w:pStyle w:val="Compact"/>
            </w:pPr>
            <w:r>
              <w:t xml:space="preserve">Novo Nordisk / Wegovy</w:t>
            </w:r>
          </w:p>
        </w:tc>
        <w:tc>
          <w:tcPr/>
          <w:p>
            <w:pPr>
              <w:pStyle w:val="Compact"/>
            </w:pPr>
            <w:r>
              <w:t xml:space="preserve">Semaglutide</w:t>
            </w:r>
          </w:p>
        </w:tc>
        <w:tc>
          <w:tcPr/>
          <w:p>
            <w:pPr>
              <w:pStyle w:val="Compact"/>
            </w:pPr>
            <w:r>
              <w:t xml:space="preserve">Weekly</w:t>
            </w:r>
          </w:p>
        </w:tc>
        <w:tc>
          <w:tcPr/>
          <w:p>
            <w:pPr>
              <w:pStyle w:val="Compact"/>
            </w:pPr>
            <w:r>
              <w:t xml:space="preserve">Prefilled pen; market-specific formats</w:t>
            </w:r>
          </w:p>
        </w:tc>
        <w:tc>
          <w:tcPr/>
          <w:p>
            <w:pPr>
              <w:pStyle w:val="Compact"/>
            </w:pPr>
            <w:r>
              <w:t xml:space="preserve">Novo platform</w:t>
            </w:r>
          </w:p>
        </w:tc>
      </w:tr>
      <w:tr>
        <w:tc>
          <w:tcPr/>
          <w:p>
            <w:pPr>
              <w:pStyle w:val="Compact"/>
            </w:pPr>
            <w:r>
              <w:t xml:space="preserve">Lilly / Zepbound</w:t>
            </w:r>
          </w:p>
        </w:tc>
        <w:tc>
          <w:tcPr/>
          <w:p>
            <w:pPr>
              <w:pStyle w:val="Compact"/>
            </w:pPr>
            <w:r>
              <w:t xml:space="preserve">Tirzepatide</w:t>
            </w:r>
          </w:p>
        </w:tc>
        <w:tc>
          <w:tcPr/>
          <w:p>
            <w:pPr>
              <w:pStyle w:val="Compact"/>
            </w:pPr>
            <w:r>
              <w:t xml:space="preserve">Weekly</w:t>
            </w:r>
          </w:p>
        </w:tc>
        <w:tc>
          <w:tcPr/>
          <w:p>
            <w:pPr>
              <w:pStyle w:val="Compact"/>
            </w:pPr>
            <w:r>
              <w:t xml:space="preserve">Single-dose pen, vial, multi-dose KwikPen depending market</w:t>
            </w:r>
          </w:p>
        </w:tc>
        <w:tc>
          <w:tcPr/>
          <w:p>
            <w:pPr>
              <w:pStyle w:val="Compact"/>
            </w:pPr>
            <w:r>
              <w:t xml:space="preserve">Lilly platform</w:t>
            </w:r>
          </w:p>
        </w:tc>
      </w:tr>
      <w:tr>
        <w:tc>
          <w:tcPr/>
          <w:p>
            <w:pPr>
              <w:pStyle w:val="Compact"/>
            </w:pPr>
            <w:r>
              <w:t xml:space="preserve">Zydus India brands</w:t>
            </w:r>
          </w:p>
        </w:tc>
        <w:tc>
          <w:tcPr/>
          <w:p>
            <w:pPr>
              <w:pStyle w:val="Compact"/>
            </w:pPr>
            <w:r>
              <w:t xml:space="preserve">Semaglutide</w:t>
            </w:r>
          </w:p>
        </w:tc>
        <w:tc>
          <w:tcPr/>
          <w:p>
            <w:pPr>
              <w:pStyle w:val="Compact"/>
            </w:pPr>
            <w:r>
              <w:t xml:space="preserve">Weekly</w:t>
            </w:r>
          </w:p>
        </w:tc>
        <w:tc>
          <w:tcPr/>
          <w:p>
            <w:pPr>
              <w:pStyle w:val="Compact"/>
            </w:pPr>
            <w:r>
              <w:t xml:space="preserve">Reusable pen + cartridge</w:t>
            </w:r>
          </w:p>
        </w:tc>
        <w:tc>
          <w:tcPr/>
          <w:p>
            <w:pPr>
              <w:pStyle w:val="Compact"/>
            </w:pPr>
            <w:r>
              <w:t xml:space="preserve">Zydus-developed product platform</w:t>
            </w:r>
          </w:p>
        </w:tc>
      </w:tr>
      <w:tr>
        <w:tc>
          <w:tcPr/>
          <w:p>
            <w:pPr>
              <w:pStyle w:val="Compact"/>
            </w:pPr>
            <w:r>
              <w:t xml:space="preserve">Lupin Semanext/Livarise</w:t>
            </w:r>
          </w:p>
        </w:tc>
        <w:tc>
          <w:tcPr/>
          <w:p>
            <w:pPr>
              <w:pStyle w:val="Compact"/>
            </w:pPr>
            <w:r>
              <w:t xml:space="preserve">Semaglutide</w:t>
            </w:r>
          </w:p>
        </w:tc>
        <w:tc>
          <w:tcPr/>
          <w:p>
            <w:pPr>
              <w:pStyle w:val="Compact"/>
            </w:pPr>
            <w:r>
              <w:t xml:space="preserve">Weekly</w:t>
            </w:r>
          </w:p>
        </w:tc>
        <w:tc>
          <w:tcPr/>
          <w:p>
            <w:pPr>
              <w:pStyle w:val="Compact"/>
            </w:pPr>
            <w:r>
              <w:t xml:space="preserve">Same reusable Zydus platform</w:t>
            </w:r>
          </w:p>
        </w:tc>
        <w:tc>
          <w:tcPr/>
          <w:p>
            <w:pPr>
              <w:pStyle w:val="Compact"/>
            </w:pPr>
            <w:r>
              <w:t xml:space="preserve">Licensed/co-marketed</w:t>
            </w:r>
          </w:p>
        </w:tc>
      </w:tr>
      <w:tr>
        <w:tc>
          <w:tcPr/>
          <w:p>
            <w:pPr>
              <w:pStyle w:val="Compact"/>
            </w:pPr>
            <w:r>
              <w:t xml:space="preserve">Sun Noveltreat</w:t>
            </w:r>
          </w:p>
        </w:tc>
        <w:tc>
          <w:tcPr/>
          <w:p>
            <w:pPr>
              <w:pStyle w:val="Compact"/>
            </w:pPr>
            <w:r>
              <w:t xml:space="preserve">Semaglutide</w:t>
            </w:r>
          </w:p>
        </w:tc>
        <w:tc>
          <w:tcPr/>
          <w:p>
            <w:pPr>
              <w:pStyle w:val="Compact"/>
            </w:pPr>
            <w:r>
              <w:t xml:space="preserve">Weekly</w:t>
            </w:r>
          </w:p>
        </w:tc>
        <w:tc>
          <w:tcPr/>
          <w:p>
            <w:pPr>
              <w:pStyle w:val="Compact"/>
            </w:pPr>
            <w:r>
              <w:t xml:space="preserve">Concealed-needle prefilled pen</w:t>
            </w:r>
          </w:p>
        </w:tc>
        <w:tc>
          <w:tcPr/>
          <w:p>
            <w:pPr>
              <w:pStyle w:val="Compact"/>
            </w:pPr>
            <w:r>
              <w:t xml:space="preserve">External European device supplier</w:t>
            </w:r>
          </w:p>
        </w:tc>
      </w:tr>
      <w:tr>
        <w:tc>
          <w:tcPr/>
          <w:p>
            <w:pPr>
              <w:pStyle w:val="Compact"/>
            </w:pPr>
            <w:r>
              <w:t xml:space="preserve">Sun Sematrinity</w:t>
            </w:r>
          </w:p>
        </w:tc>
        <w:tc>
          <w:tcPr/>
          <w:p>
            <w:pPr>
              <w:pStyle w:val="Compact"/>
            </w:pPr>
            <w:r>
              <w:t xml:space="preserve">Semaglutide</w:t>
            </w:r>
          </w:p>
        </w:tc>
        <w:tc>
          <w:tcPr/>
          <w:p>
            <w:pPr>
              <w:pStyle w:val="Compact"/>
            </w:pPr>
            <w:r>
              <w:t xml:space="preserve">Weekly</w:t>
            </w:r>
          </w:p>
        </w:tc>
        <w:tc>
          <w:tcPr/>
          <w:p>
            <w:pPr>
              <w:pStyle w:val="Compact"/>
            </w:pPr>
            <w:r>
              <w:t xml:space="preserve">Multidose pen</w:t>
            </w:r>
          </w:p>
        </w:tc>
        <w:tc>
          <w:tcPr/>
          <w:p>
            <w:pPr>
              <w:pStyle w:val="Compact"/>
            </w:pPr>
            <w:r>
              <w:t xml:space="preserve">External European device supplier</w:t>
            </w:r>
          </w:p>
        </w:tc>
      </w:tr>
    </w:tbl>
    <w:p>
      <w:pPr>
        <w:pStyle w:val="BodyText"/>
      </w:pPr>
      <w:r>
        <w:rPr>
          <w:b/>
          <w:bCs/>
        </w:rPr>
        <w:t xml:space="preserve">Analyst build:</w:t>
      </w:r>
      <w:r>
        <w:t xml:space="preserve"> </w:t>
      </w:r>
      <w:r>
        <w:t xml:space="preserve">Product-format table. Data fields: company, molecule, dosing frequency, single/multi-dose, reusable/disposable, manufacturer/developer, launch geography. Sources: company labels/releases and licensing announcements. What it proves:</w:t>
      </w:r>
      <w:r>
        <w:t xml:space="preserve"> </w:t>
      </w:r>
      <w:r>
        <w:t xml:space="preserve">“semaglutide pen exposure”</w:t>
      </w:r>
      <w:r>
        <w:t xml:space="preserve"> </w:t>
      </w:r>
      <w:r>
        <w:t xml:space="preserve">spans very different control of the value chain. Investor takeaway: we value product-platform ownership above finished-product marketing, while still recognising that licensed platforms can generate attractive commercial returns.</w:t>
      </w:r>
    </w:p>
    <w:bookmarkEnd w:id="29"/>
    <w:bookmarkStart w:id="30" w:name="Xadcef725711355aa26e40bba73ff6158dbc7e9b"/>
    <w:p>
      <w:pPr>
        <w:pStyle w:val="Heading3"/>
      </w:pPr>
      <w:r>
        <w:t xml:space="preserve">Exhibit 12: Reusable pens can beat disposable systems on recurring device economics even when the disposable product is easier</w:t>
      </w:r>
    </w:p>
    <w:p>
      <w:pPr>
        <w:pStyle w:val="FirstParagraph"/>
      </w:pPr>
      <w:r>
        <w:t xml:space="preserve">The economics are simple. Let the reusable mechanism cost</w:t>
      </w:r>
      <w:r>
        <w:t xml:space="preserve"> </w:t>
      </w:r>
      <w:r>
        <w:rPr>
          <w:b/>
          <w:bCs/>
        </w:rPr>
        <w:t xml:space="preserve">R</w:t>
      </w:r>
      <w:r>
        <w:t xml:space="preserve">, the recurring cartridge plus low-cost disposable components cost</w:t>
      </w:r>
      <w:r>
        <w:t xml:space="preserve"> </w:t>
      </w:r>
      <w:r>
        <w:rPr>
          <w:b/>
          <w:bCs/>
        </w:rPr>
        <w:t xml:space="preserve">C</w:t>
      </w:r>
      <w:r>
        <w:t xml:space="preserve">, and the fully disposable pen cost</w:t>
      </w:r>
      <w:r>
        <w:t xml:space="preserve"> </w:t>
      </w:r>
      <w:r>
        <w:rPr>
          <w:b/>
          <w:bCs/>
        </w:rPr>
        <w:t xml:space="preserve">D</w:t>
      </w:r>
      <w:r>
        <w:t xml:space="preserve"> </w:t>
      </w:r>
      <w:r>
        <w:t xml:space="preserve">per refill period. The reusable system reaches device-cost break-even after approximately:</w:t>
      </w:r>
    </w:p>
    <w:p>
      <w:pPr>
        <w:pStyle w:val="BodyText"/>
      </w:pPr>
      <w:r>
        <w:rPr>
          <w:b/>
          <w:bCs/>
        </w:rPr>
        <w:t xml:space="preserve">Break-even periods = R / (D - C)</w:t>
      </w:r>
    </w:p>
    <w:p>
      <w:pPr>
        <w:pStyle w:val="BodyText"/>
      </w:pPr>
      <w:r>
        <w:t xml:space="preserve">If the patient stays on therapy long enough and cartridges remain available, the one-time mechanism is amortised. If the patient discontinues quickly, loses the device or cannot obtain compatible cartridges, the advantage disappears.</w:t>
      </w:r>
    </w:p>
    <w:p>
      <w:pPr>
        <w:pStyle w:val="BodyText"/>
      </w:pPr>
      <w:r>
        <w:rPr>
          <w:b/>
          <w:bCs/>
        </w:rPr>
        <w:t xml:space="preserve">Analyst build:</w:t>
      </w:r>
      <w:r>
        <w:t xml:space="preserve"> </w:t>
      </w:r>
      <w:r>
        <w:t xml:space="preserve">Indexed cumulative-cost line chart rather than using unverifiable manufacturing costs. X-axis: refill periods 1-12. Y-axis: cumulative device-cost index. Series 1: disposable = 100 units per period. Series 2: reusable = 250 units upfront + 55 units per subsequent cartridge period. This illustrative example crosses around period six. Clearly label</w:t>
      </w:r>
      <w:r>
        <w:t xml:space="preserve"> </w:t>
      </w:r>
      <w:r>
        <w:t xml:space="preserve">“Bernstein illustrative cost index, not observed product manufacturing cost”</w:t>
      </w:r>
      <w:r>
        <w:t xml:space="preserve">. What it proves: lower recurring hardware content can matter in a price-sensitive chronic market. Investor takeaway: a reusable architecture can be commercially superior in India without being mechanically more sophisticated.</w:t>
      </w:r>
    </w:p>
    <w:p>
      <w:pPr>
        <w:pStyle w:val="BodyText"/>
      </w:pPr>
      <w:r>
        <w:t xml:space="preserve">Autoinjectors occupy a different position. Their value is strongest in fixed-dose biologics where patients need a small number of intuitive steps, low actuation force, clear end-of-dose feedback and minimal needle visibility. Specialist manufacturers such as SHL Medical operate 1.0 mL and 2.25 mL platforms across multiple approved combination products. The moat can therefore sit with a device specialist that serves many pharmaceutical molecules.</w:t>
      </w:r>
    </w:p>
    <w:p>
      <w:r>
        <w:pict>
          <v:rect style="width:0;height:1.5pt" o:hralign="center" o:hrstd="t" o:hr="t"/>
        </w:pict>
      </w:r>
    </w:p>
    <w:bookmarkEnd w:id="30"/>
    <w:bookmarkEnd w:id="31"/>
    <w:bookmarkStart w:id="34" w:name="Xeb035151df7e53394a07ad0f2d8342b5dfb0950"/>
    <w:p>
      <w:pPr>
        <w:pStyle w:val="Heading1"/>
      </w:pPr>
      <w:r>
        <w:t xml:space="preserve">PLATFORM 6: LARGER BIOLOGIC DOSES AND CONTINUOUS THERAPY ARE PUSHING DELIVERY FROM SECONDS TO MINUTES OR HOURS</w:t>
      </w:r>
    </w:p>
    <w:p>
      <w:pPr>
        <w:pStyle w:val="FirstParagraph"/>
      </w:pPr>
      <w:r>
        <w:t xml:space="preserve">A conventional autoinjector works well when a modest volume of drug can pass through a fine needle quickly and at tolerable force. The engineering changes as volume and viscosity rise. A concentrated biologic may be easier to carry in a small volume, but higher concentration can increase viscosity. A narrower needle is more comfortable but raises resistance to flow. Increasing drive force can shorten injection time but can create pain, device stress or incomplete administration.</w:t>
      </w:r>
    </w:p>
    <w:p>
      <w:pPr>
        <w:pStyle w:val="BodyText"/>
      </w:pPr>
      <w:r>
        <w:t xml:space="preserve">This is why larger-volume on-body systems exist. Ypsomed’s YpsoDose is designed around prefilled volumes of roughly 2-10 mL and controlled delivery over minutes. BD’s Libertas platform similarly targets several-millilitre subcutaneous doses. Stevanato is developing larger ready-to-use cartridges, including formats above conventional autoinjector capacity.</w:t>
      </w:r>
      <w:r>
        <w:t xml:space="preserve"> </w:t>
      </w:r>
      <w:r>
        <w:rPr>
          <w:b/>
          <w:bCs/>
        </w:rPr>
        <w:t xml:space="preserve">The important correction to the usual market narrative is that 10-50 mL should not all be treated as one wearable-injector category. Commercial on-body platforms today are commonly designed around single-digit to low-double-digit millilitres. At still larger volumes, formulation change or conventional home/clinic infusion may remain more practical.</w:t>
      </w:r>
    </w:p>
    <w:bookmarkStart w:id="32" w:name="X0751d8d16ae6a59bed767ab0bcfba45fea3302b"/>
    <w:p>
      <w:pPr>
        <w:pStyle w:val="Heading3"/>
      </w:pPr>
      <w:r>
        <w:t xml:space="preserve">Exhibit 13: Dose volume is pushing subcutaneous delivery from seconds to minutes, but current commercial platforms still have practical limits</w:t>
      </w:r>
    </w:p>
    <w:p>
      <w:pPr>
        <w:pStyle w:val="FirstParagraph"/>
      </w:pPr>
      <w:r>
        <w:rPr>
          <w:b/>
          <w:bCs/>
        </w:rPr>
        <w:t xml:space="preserve">Analyst build:</w:t>
      </w:r>
      <w:r>
        <w:t xml:space="preserve"> </w:t>
      </w:r>
      <w:r>
        <w:t xml:space="preserve">Horizontal continuum. X-axis: administered volume, logarithmic or segmented mL scale. Place &lt;1 mL PFS, 1-2.25 mL conventional autoinjector, up to ~3 mL high-capacity cartridge autoinjector, 2-10 mL wearable/on-body systems and up to ~20 mL emerging large-volume primary containers. Add secondary annotations for viscosity and administration time. Sources: SHL, Ypsomed, BD, Stevanato and Gerresheimer product specifications. What it proves: larger doses create a different mechanical problem rather than simply requiring a bigger pen. Investor takeaway: high-volume biologics can shift value toward container and wearable-device specialists.</w:t>
      </w:r>
    </w:p>
    <w:p>
      <w:pPr>
        <w:pStyle w:val="BodyText"/>
      </w:pPr>
      <w:r>
        <w:t xml:space="preserve">On-body injectors are already commercial outside diabetes. Amgen’s Neulasta Onpro uses an on-body system to deliver pegfilgrastim after application in the chemotherapy setting. It is a good example of scheduled drug delivery rather than continuous metabolic control.</w:t>
      </w:r>
    </w:p>
    <w:p>
      <w:pPr>
        <w:pStyle w:val="BodyText"/>
      </w:pPr>
      <w:r>
        <w:t xml:space="preserve">Parkinson’s disease provides a more pharmacologically interesting use case. Advanced patients can experience motor fluctuations as oral levodopa exposure rises and falls. AbbVie’s Vyalev/Produodopa uses continuous subcutaneous foslevodopa/foscarbidopa infusion. In a randomized study, continuous therapy increased</w:t>
      </w:r>
      <w:r>
        <w:t xml:space="preserve"> </w:t>
      </w:r>
      <w:r>
        <w:t xml:space="preserve">“on”</w:t>
      </w:r>
      <w:r>
        <w:t xml:space="preserve"> </w:t>
      </w:r>
      <w:r>
        <w:t xml:space="preserve">time without troublesome dyskinesia by 2.72 hours versus 0.97 hours with oral immediate-release carbidopa/levodopa at 12 weeks. Here the pump is doing more than adding convenience.</w:t>
      </w:r>
      <w:r>
        <w:t xml:space="preserve"> </w:t>
      </w:r>
      <w:r>
        <w:rPr>
          <w:b/>
          <w:bCs/>
        </w:rPr>
        <w:t xml:space="preserve">Continuous delivery changes the exposure profile and therefore the clinical effect.</w:t>
      </w:r>
    </w:p>
    <w:p>
      <w:pPr>
        <w:pStyle w:val="BodyText"/>
      </w:pPr>
      <w:r>
        <w:t xml:space="preserve">Insulin is the largest established pump use case. Traditional pumps continuously deliver basal insulin through tubing and allow meal-time boluses. Tubeless patch pumps put the infusion hardware directly on the body. Automated insulin-delivery systems add continuous glucose monitoring and algorithms that adjust insulin dynamically.</w:t>
      </w:r>
    </w:p>
    <w:p>
      <w:pPr>
        <w:pStyle w:val="BodyText"/>
      </w:pPr>
      <w:r>
        <w:t xml:space="preserve">The evidence is strong that automated delivery can improve glucose control. A 2026 meta-analysis of randomized trials of tubeless hybrid closed-loop systems found time in range higher by about 15 percentage points and HbA1c lower by around 0.46 percentage points versus standard-care comparators. Other randomized trials of automated delivery also show improvements in time in range and HbA1c. We would not attribute all of this to a tubeless form factor. The algorithm, CGM and automated correction are major parts of the intervention.</w:t>
      </w:r>
      <w:r>
        <w:t xml:space="preserve"> </w:t>
      </w:r>
      <w:r>
        <w:rPr>
          <w:b/>
          <w:bCs/>
        </w:rPr>
        <w:t xml:space="preserve">The moat is the integrated system, not simply the absence of tubing.</w:t>
      </w:r>
    </w:p>
    <w:bookmarkEnd w:id="32"/>
    <w:bookmarkStart w:id="33" w:name="X76d9e85539df9814bae68d2e4acf5781c269513"/>
    <w:p>
      <w:pPr>
        <w:pStyle w:val="Heading3"/>
      </w:pPr>
      <w:r>
        <w:t xml:space="preserve">Exhibit 14: Automated insulin delivery improves glucose control, but the algorithm matters more than the shape of the pump</w:t>
      </w:r>
    </w:p>
    <w:p>
      <w:pPr>
        <w:pStyle w:val="FirstParagraph"/>
      </w:pPr>
      <w:r>
        <w:rPr>
          <w:b/>
          <w:bCs/>
        </w:rPr>
        <w:t xml:space="preserve">Analyst build:</w:t>
      </w:r>
      <w:r>
        <w:t xml:space="preserve"> </w:t>
      </w:r>
      <w:r>
        <w:t xml:space="preserve">Two-panel chart. Panel A: treatment effect on time in range, +15.3 percentage points. Panel B: HbA1c treatment effect, -0.46 percentage points. Use the 2026 tubeless hybrid closed-loop meta-analysis. Include a footnote that controls and algorithms differed across included trials and heterogeneity was material. Units: percentage points. Source: randomized-trial meta-analysis. What it proves: integrated automated delivery can materially improve glucose control. Investor takeaway: do not treat the pump housing as the sole source of efficacy.</w:t>
      </w:r>
    </w:p>
    <w:p>
      <w:pPr>
        <w:pStyle w:val="BodyText"/>
      </w:pPr>
      <w:r>
        <w:t xml:space="preserve">Insulet’s US$2.67bn 2025 Omnipod revenue shows that the device ecosystem itself can become a large recurring-revenue healthcare business. Yet the economics also show why India penetration will be different. Pumps require hardware, consumables, CGM integration, training and support. A clinically better system can still be unaffordable for a large out-of-pocket population.</w:t>
      </w:r>
    </w:p>
    <w:p>
      <w:pPr>
        <w:pStyle w:val="BodyText"/>
      </w:pPr>
      <w:r>
        <w:t xml:space="preserve">We also investigated the proposed CKD use case.</w:t>
      </w:r>
      <w:r>
        <w:t xml:space="preserve"> </w:t>
      </w:r>
      <w:r>
        <w:rPr>
          <w:b/>
          <w:bCs/>
        </w:rPr>
        <w:t xml:space="preserve">We do not find a scaled, commercially relevant drug-delivery pump category in CKD comparable with insulin, Parkinson’s disease or selected biologics.</w:t>
      </w:r>
      <w:r>
        <w:t xml:space="preserve"> </w:t>
      </w:r>
      <w:r>
        <w:t xml:space="preserve">Dialysis is a fluid-exchange therapy, not a drug-delivery analogue, while major CKD medicines such as erythropoiesis-stimulating agents are generally given as intermittent injections. We therefore do not force CKD into the wearable-delivery thesis.</w:t>
      </w:r>
    </w:p>
    <w:p>
      <w:r>
        <w:pict>
          <v:rect style="width:0;height:1.5pt" o:hralign="center" o:hrstd="t" o:hr="t"/>
        </w:pict>
      </w:r>
    </w:p>
    <w:bookmarkEnd w:id="33"/>
    <w:bookmarkEnd w:id="34"/>
    <w:bookmarkStart w:id="36" w:name="X5cfe9680b94753c0cdebd477f9a36f680b644b6"/>
    <w:p>
      <w:pPr>
        <w:pStyle w:val="Heading1"/>
      </w:pPr>
      <w:r>
        <w:t xml:space="preserve">THE DEVICE MOAT IS REAL, BUT ONLY WHEN IT CHANGES THE PATIENT EXPERIENCE</w:t>
      </w:r>
    </w:p>
    <w:p>
      <w:pPr>
        <w:pStyle w:val="FirstParagraph"/>
      </w:pPr>
      <w:r>
        <w:t xml:space="preserve">A device can create value through eight mechanisms. They are additive when the product is well designed, but not every product uses all eight.</w:t>
      </w:r>
    </w:p>
    <w:p>
      <w:pPr>
        <w:pStyle w:val="BodyText"/>
      </w:pPr>
      <w:r>
        <w:rPr>
          <w:b/>
          <w:bCs/>
        </w:rPr>
        <w:t xml:space="preserve">First, pharmacology.</w:t>
      </w:r>
      <w:r>
        <w:t xml:space="preserve"> </w:t>
      </w:r>
      <w:r>
        <w:t xml:space="preserve">Local lung delivery, a drug-eluting stent, a transdermal patch and a continuous pump all change where or how the body is exposed to drug. These are stronger delivery advantages than simply hiding a needle because the delivery system affects concentration-time behaviour or target-tissue exposure.</w:t>
      </w:r>
    </w:p>
    <w:p>
      <w:pPr>
        <w:pStyle w:val="BodyText"/>
      </w:pPr>
      <w:r>
        <w:rPr>
          <w:b/>
          <w:bCs/>
        </w:rPr>
        <w:t xml:space="preserve">Second, convenience.</w:t>
      </w:r>
      <w:r>
        <w:t xml:space="preserve"> </w:t>
      </w:r>
      <w:r>
        <w:t xml:space="preserve">Dose frequency, injection time, portability and administration steps affect treatment burden. A weekly pen can be easier than daily injection. An implant can remove dosing decisions for years. An on-body injector can allow a larger dose to run over minutes instead of forcing a high-pressure short injection.</w:t>
      </w:r>
    </w:p>
    <w:p>
      <w:pPr>
        <w:pStyle w:val="BodyText"/>
      </w:pPr>
      <w:r>
        <w:rPr>
          <w:b/>
          <w:bCs/>
        </w:rPr>
        <w:t xml:space="preserve">Third, adherence and persistence.</w:t>
      </w:r>
      <w:r>
        <w:t xml:space="preserve"> </w:t>
      </w:r>
      <w:r>
        <w:t xml:space="preserve">These are different. Adherence measures whether doses are taken correctly while a patient remains on treatment. Persistence measures how long the patient remains on treatment before discontinuation. A once-weekly device may improve adherence but still have poor persistence if gastrointestinal side effects or cost cause patients to stop. An implant can improve both because the drug remains present without repeated action, although removal remains possible.</w:t>
      </w:r>
    </w:p>
    <w:p>
      <w:pPr>
        <w:pStyle w:val="BodyText"/>
      </w:pPr>
      <w:r>
        <w:rPr>
          <w:b/>
          <w:bCs/>
        </w:rPr>
        <w:t xml:space="preserve">Fourth, human-factor engineering.</w:t>
      </w:r>
      <w:r>
        <w:t xml:space="preserve"> </w:t>
      </w:r>
      <w:r>
        <w:t xml:space="preserve">Grip, dexterity, actuation force, needle visibility, audible or visual dose-completion feedback and error prevention matter particularly for elderly patients, children and people with limited hand strength. FDA’s human-factor framework focuses on critical tasks because a device that looks intuitive to an engineer can still produce clinically relevant use errors in the real world.</w:t>
      </w:r>
    </w:p>
    <w:p>
      <w:pPr>
        <w:pStyle w:val="BodyText"/>
      </w:pPr>
      <w:r>
        <w:rPr>
          <w:b/>
          <w:bCs/>
        </w:rPr>
        <w:t xml:space="preserve">Fifth, manufacturing.</w:t>
      </w:r>
      <w:r>
        <w:t xml:space="preserve"> </w:t>
      </w:r>
      <w:r>
        <w:t xml:space="preserve">A biologic injection system combines the drug formulation with glass or polymer primary containers, elastomeric components, plungers, lubricants, needles, springs or drive mechanisms, assembly processes and sterilisation. Each interface can affect stability or dose delivery. A high-quality fill-finish facility is necessary, but fill-finish alone is not device engineering.</w:t>
      </w:r>
    </w:p>
    <w:p>
      <w:pPr>
        <w:pStyle w:val="BodyText"/>
      </w:pPr>
      <w:r>
        <w:rPr>
          <w:b/>
          <w:bCs/>
        </w:rPr>
        <w:t xml:space="preserve">Sixth, regulation.</w:t>
      </w:r>
      <w:r>
        <w:t xml:space="preserve"> </w:t>
      </w:r>
      <w:r>
        <w:t xml:space="preserve">Combination products bring the device into the medicine’s quality file. Delivery outputs, dose accuracy, robustness, container closure, extractables/leachables, human factors and manufacturing changes can therefore create additional development work relative with a simple oral generic. The barrier is real when product performance depends on these variables. It is much weaker when the</w:t>
      </w:r>
      <w:r>
        <w:t xml:space="preserve"> </w:t>
      </w:r>
      <w:r>
        <w:t xml:space="preserve">“device”</w:t>
      </w:r>
      <w:r>
        <w:t xml:space="preserve"> </w:t>
      </w:r>
      <w:r>
        <w:t xml:space="preserve">is merely a commodity container around an easy-to-deliver formulation.</w:t>
      </w:r>
    </w:p>
    <w:p>
      <w:pPr>
        <w:pStyle w:val="BodyText"/>
      </w:pPr>
      <w:r>
        <w:rPr>
          <w:b/>
          <w:bCs/>
        </w:rPr>
        <w:t xml:space="preserve">Seventh, intellectual property.</w:t>
      </w:r>
      <w:r>
        <w:t xml:space="preserve"> </w:t>
      </w:r>
      <w:r>
        <w:t xml:space="preserve">Molecule IP, formulation IP and device IP are separate. A company can protect a spring mechanism, dose selector, cartridge interface or inhaler geometry after the core molecule patent has aged. This can support differentiation and complicate exact copying, but it does not automatically extend the molecule patent. Manufacturing know-how and validated regulatory files can also matter even after individual patents expire.</w:t>
      </w:r>
    </w:p>
    <w:p>
      <w:pPr>
        <w:pStyle w:val="BodyText"/>
      </w:pPr>
      <w:r>
        <w:rPr>
          <w:b/>
          <w:bCs/>
        </w:rPr>
        <w:t xml:space="preserve">Eighth, switching friction.</w:t>
      </w:r>
      <w:r>
        <w:t xml:space="preserve"> </w:t>
      </w:r>
      <w:r>
        <w:t xml:space="preserve">Patients learn how to use a particular inhaler, pen or pump. Physicians build confidence in dose delivery. Pharmacies and distributors stock compatible cartridges or consumables. Training programmes form around the system. Switching is therefore not costless even where the molecule is equivalent. We do not treat this as permanent protection, but it can slow commoditisation.</w:t>
      </w:r>
    </w:p>
    <w:bookmarkStart w:id="35" w:name="X88def11aafb83a7018bb98d4fb39843eeeab60a"/>
    <w:p>
      <w:pPr>
        <w:pStyle w:val="Heading3"/>
      </w:pPr>
      <w:r>
        <w:t xml:space="preserve">Exhibit 15: The device moat is highest when clinical value, switching friction and manufacturing complexity overlap</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Platform</w:t>
            </w:r>
          </w:p>
        </w:tc>
        <w:tc>
          <w:tcPr/>
          <w:p>
            <w:pPr>
              <w:pStyle w:val="Compact"/>
              <w:jc w:val="right"/>
            </w:pPr>
            <w:r>
              <w:t xml:space="preserve">Clinical differentiation</w:t>
            </w:r>
          </w:p>
        </w:tc>
        <w:tc>
          <w:tcPr/>
          <w:p>
            <w:pPr>
              <w:pStyle w:val="Compact"/>
              <w:jc w:val="right"/>
            </w:pPr>
            <w:r>
              <w:t xml:space="preserve">Convenience</w:t>
            </w:r>
          </w:p>
        </w:tc>
        <w:tc>
          <w:tcPr/>
          <w:p>
            <w:pPr>
              <w:pStyle w:val="Compact"/>
              <w:jc w:val="right"/>
            </w:pPr>
            <w:r>
              <w:t xml:space="preserve">Device complexity</w:t>
            </w:r>
          </w:p>
        </w:tc>
        <w:tc>
          <w:tcPr/>
          <w:p>
            <w:pPr>
              <w:pStyle w:val="Compact"/>
              <w:jc w:val="right"/>
            </w:pPr>
            <w:r>
              <w:t xml:space="preserve">Switching friction</w:t>
            </w:r>
          </w:p>
        </w:tc>
        <w:tc>
          <w:tcPr/>
          <w:p>
            <w:pPr>
              <w:pStyle w:val="Compact"/>
              <w:jc w:val="right"/>
            </w:pPr>
            <w:r>
              <w:t xml:space="preserve">Generic barrier</w:t>
            </w:r>
          </w:p>
        </w:tc>
        <w:tc>
          <w:tcPr/>
          <w:p>
            <w:pPr>
              <w:pStyle w:val="Compact"/>
              <w:jc w:val="right"/>
            </w:pPr>
            <w:r>
              <w:t xml:space="preserve">India relevance</w:t>
            </w:r>
          </w:p>
        </w:tc>
      </w:tr>
      <w:tr>
        <w:tc>
          <w:tcPr/>
          <w:p>
            <w:pPr>
              <w:pStyle w:val="Compact"/>
            </w:pPr>
            <w:r>
              <w:t xml:space="preserve">Local implant / DES</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r>
      <w:tr>
        <w:tc>
          <w:tcPr/>
          <w:p>
            <w:pPr>
              <w:pStyle w:val="Compact"/>
            </w:pPr>
            <w:r>
              <w:t xml:space="preserve">Inhalation</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pPr>
            <w:r>
              <w:t xml:space="preserve">Transdermal</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r>
      <w:tr>
        <w:tc>
          <w:tcPr/>
          <w:p>
            <w:pPr>
              <w:pStyle w:val="Compact"/>
            </w:pPr>
            <w:r>
              <w:t xml:space="preserve">LARC</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r>
      <w:tr>
        <w:tc>
          <w:tcPr/>
          <w:p>
            <w:pPr>
              <w:pStyle w:val="Compact"/>
            </w:pPr>
            <w:r>
              <w:t xml:space="preserve">Pens / autoinjectors</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pPr>
            <w:r>
              <w:t xml:space="preserve">Pumps / wearables</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r>
    </w:tbl>
    <w:p>
      <w:pPr>
        <w:pStyle w:val="BodyText"/>
      </w:pPr>
      <w:r>
        <w:rPr>
          <w:b/>
          <w:bCs/>
        </w:rPr>
        <w:t xml:space="preserve">Analyst build:</w:t>
      </w:r>
      <w:r>
        <w:t xml:space="preserve"> </w:t>
      </w:r>
      <w:r>
        <w:t xml:space="preserve">Heat map scored 1-5. Scores are Bernstein Analysis and should not be presented as measured market data. What it proves: inhalation, selected implants and integrated pumps combine several barriers; a basic injection pen is less defensible unless the company controls formulation, device and refill ecosystem. Investor takeaway: the highest-return delivery assets are those in which clinical benefit and engineering difficulty reinforce one another.</w:t>
      </w:r>
    </w:p>
    <w:p>
      <w:r>
        <w:pict>
          <v:rect style="width:0;height:1.5pt" o:hralign="center" o:hrstd="t" o:hr="t"/>
        </w:pict>
      </w:r>
    </w:p>
    <w:bookmarkEnd w:id="35"/>
    <w:bookmarkEnd w:id="36"/>
    <w:bookmarkStart w:id="37" w:name="Xe23399419fab55aa672bffe40800625248672bf"/>
    <w:p>
      <w:pPr>
        <w:pStyle w:val="Heading1"/>
      </w:pPr>
      <w:r>
        <w:t xml:space="preserve">ORALS ARE FIGHTING BACK: DELIVERY DEVICES WILL NOT WIN EVERY MARKET</w:t>
      </w:r>
    </w:p>
    <w:p>
      <w:pPr>
        <w:pStyle w:val="FirstParagraph"/>
      </w:pPr>
      <w:r>
        <w:t xml:space="preserve">The strongest counterargument to the entire report is pharmaceutical chemistry. If a company can reproduce the clinical effect of an injectable therapy with a once-daily tablet, many patients will prefer the tablet and manufacturing can become simpler.</w:t>
      </w:r>
    </w:p>
    <w:p>
      <w:pPr>
        <w:pStyle w:val="BodyText"/>
      </w:pPr>
      <w:r>
        <w:t xml:space="preserve">Oral peptide delivery is one route. Absorption enhancers and formulation strategies can protect a peptide long enough to allow a small fraction to cross the gastrointestinal barrier. The trade-off is often low absolute bioavailability, food restrictions or formulation complexity. The objective is therefore not to make the intestine naturally permeable to a peptide. It is to make the small absorbed fraction reliable enough to create therapeutic exposure.</w:t>
      </w:r>
    </w:p>
    <w:p>
      <w:pPr>
        <w:pStyle w:val="BodyText"/>
      </w:pPr>
      <w:r>
        <w:t xml:space="preserve">The second route is to avoid the peptide entirely. Small molecules can be designed to activate the same pathway while retaining conventional oral-drug properties. Lilly’s orforglipron is the clearest current example. FDA approved the once-daily non-peptide oral GLP-1 product Foundayo in April 2026. It can be taken without the food and water restrictions associated with earlier oral peptide GLP-1 delivery.</w:t>
      </w:r>
    </w:p>
    <w:p>
      <w:pPr>
        <w:pStyle w:val="BodyText"/>
      </w:pPr>
      <w:r>
        <w:t xml:space="preserve">The third route is to improve the oral peptide itself. In July 2026, Europe approved a once-daily oral semaglutide formulation for obesity alongside a higher-dose injectable Wegovy presentation. The same franchise can therefore compete simultaneously on oral convenience and better injection formats.</w:t>
      </w:r>
    </w:p>
    <w:p>
      <w:pPr>
        <w:pStyle w:val="BodyText"/>
      </w:pPr>
      <w:r>
        <w:t xml:space="preserve">This makes GLP-1 a natural experiment for our thesis. The market is moving in four directions at once: easier injection devices, more flexible dose formats, longer-acting injectable molecules and oral medicines.</w:t>
      </w:r>
      <w:r>
        <w:t xml:space="preserve"> </w:t>
      </w:r>
      <w:r>
        <w:rPr>
          <w:b/>
          <w:bCs/>
        </w:rPr>
        <w:t xml:space="preserve">The winner does not need to be the most technologically elaborate delivery route. It needs to produce the best combination of efficacy, tolerability, convenience and cost for a given patient segment.</w:t>
      </w:r>
    </w:p>
    <w:p>
      <w:pPr>
        <w:pStyle w:val="BodyText"/>
      </w:pPr>
      <w:r>
        <w:t xml:space="preserve">An oral drug can therefore destroy a device moat if the device exists only to overcome an avoidable delivery problem. By contrast, it is harder for an oral product to replace a device when local delivery itself is the therapeutic objective, as in an inhaled bronchodilator or drug-eluting stent, or when near-continuous delivery is needed, as in automated insulin delivery.</w:t>
      </w:r>
    </w:p>
    <w:p>
      <w:pPr>
        <w:pStyle w:val="BodyText"/>
      </w:pPr>
      <w:r>
        <w:t xml:space="preserve">The relevant question is not</w:t>
      </w:r>
      <w:r>
        <w:t xml:space="preserve"> </w:t>
      </w:r>
      <w:r>
        <w:t xml:space="preserve">“Will devices replace pills?”</w:t>
      </w:r>
      <w:r>
        <w:t xml:space="preserve"> </w:t>
      </w:r>
      <w:r>
        <w:t xml:space="preserve">It is:</w:t>
      </w:r>
    </w:p>
    <w:p>
      <w:pPr>
        <w:pStyle w:val="BodyText"/>
      </w:pPr>
      <w:r>
        <w:rPr>
          <w:b/>
          <w:bCs/>
        </w:rPr>
        <w:t xml:space="preserve">For which molecule and disease does the device create enough clinical or behavioural value to justify additional cost and complexity?</w:t>
      </w:r>
    </w:p>
    <w:p>
      <w:r>
        <w:pict>
          <v:rect style="width:0;height:1.5pt" o:hralign="center" o:hrstd="t" o:hr="t"/>
        </w:pict>
      </w:r>
    </w:p>
    <w:bookmarkEnd w:id="37"/>
    <w:bookmarkStart w:id="39" w:name="Xce1dc6e673f094fe1e3ef795cbfade9f156abf2"/>
    <w:p>
      <w:pPr>
        <w:pStyle w:val="Heading1"/>
      </w:pPr>
      <w:r>
        <w:t xml:space="preserve">THE DRUG-DEVICE VALUE CHAIN: THE MOAT OFTEN SITS AWAY FROM THE DRUG COMPANY</w:t>
      </w:r>
    </w:p>
    <w:p>
      <w:pPr>
        <w:pStyle w:val="FirstParagraph"/>
      </w:pPr>
      <w:r>
        <w:t xml:space="preserve">A modern injectable combination product can involve more specialised suppliers than its branding suggests. The pharmaceutical company may own the molecule and formulation yet source the syringe barrel, elastomer, needle, autoinjector mechanism and assembly line from different specialists.</w:t>
      </w:r>
    </w:p>
    <w:p>
      <w:pPr>
        <w:pStyle w:val="BodyText"/>
      </w:pPr>
      <w:r>
        <w:t xml:space="preserve">The chain is:</w:t>
      </w:r>
    </w:p>
    <w:p>
      <w:pPr>
        <w:pStyle w:val="BodyText"/>
      </w:pPr>
      <w:r>
        <w:rPr>
          <w:b/>
          <w:bCs/>
        </w:rPr>
        <w:t xml:space="preserve">Drug molecule → formulation → primary container → cartridge or prefilled syringe → elastomer/plunger → needle system → drive mechanism → electronics/software where needed → assembly → fill-finish → packaging → commercialisation → patient training/support.</w:t>
      </w:r>
    </w:p>
    <w:p>
      <w:pPr>
        <w:pStyle w:val="BodyText"/>
      </w:pPr>
      <w:r>
        <w:t xml:space="preserve">Value does not accrue equally across the chain. Standard plastic parts can be relatively commoditised. Yet primary containers for sensitive biologics are less trivial because glass chemistry, silicone, tungsten residues, extractables and protein interactions can matter. The drive mechanism becomes more valuable as viscosity rises or injection time must be controlled. Aerosol platforms become valuable because the device directly determines delivered particle characteristics. Human-factor and regulatory files become valuable once a platform has been validated across multiple products.</w:t>
      </w:r>
    </w:p>
    <w:p>
      <w:pPr>
        <w:pStyle w:val="BodyText"/>
      </w:pPr>
      <w:r>
        <w:t xml:space="preserve">Several global specialists illustrate this division of labour. SHL Medical develops and manufactures autoinjector platforms. BD spans primary containers and large-volume wearable delivery through Libertas. Stevanato combines glass containers with pens, autoinjectors and device assembly. Gerresheimer similarly spans primary packaging and injection devices. Ypsomed operates pen, autoinjector and wearable platforms. Nemera provides pen and autoinjector development and industrialisation. Aptar has proprietary inhalation and nasal-device capabilities. Phillips-Medisize focuses on platform and custom drug-delivery engineering, including connected systems.</w:t>
      </w:r>
    </w:p>
    <w:p>
      <w:pPr>
        <w:pStyle w:val="BodyText"/>
      </w:pPr>
      <w:r>
        <w:t xml:space="preserve">West Pharmaceutical remains particularly important in primary containment and elastomers. Its July 2026 sale of certain SmartDose manufacturing and supply rights also shows that portfolio ownership can change. A report that simply memorises which company</w:t>
      </w:r>
      <w:r>
        <w:t xml:space="preserve"> </w:t>
      </w:r>
      <w:r>
        <w:t xml:space="preserve">“has a wearable injector”</w:t>
      </w:r>
      <w:r>
        <w:t xml:space="preserve"> </w:t>
      </w:r>
      <w:r>
        <w:t xml:space="preserve">can therefore become stale quickly. Current ownership and exact rights need to be checked product by product.</w:t>
      </w:r>
    </w:p>
    <w:bookmarkStart w:id="38" w:name="Xcb33913cad3a9d5f801b9ec41825f92a62e3271"/>
    <w:p>
      <w:pPr>
        <w:pStyle w:val="Heading3"/>
      </w:pPr>
      <w:r>
        <w:t xml:space="preserve">Exhibit 16: Owning the formulation is not the same as owning the delivery system</w:t>
      </w:r>
    </w:p>
    <w:p>
      <w:pPr>
        <w:pStyle w:val="FirstParagraph"/>
      </w:pPr>
      <w:r>
        <w:rPr>
          <w:b/>
          <w:bCs/>
        </w:rPr>
        <w:t xml:space="preserve">Analyst build:</w:t>
      </w:r>
      <w:r>
        <w:t xml:space="preserve"> </w:t>
      </w:r>
      <w:r>
        <w:t xml:space="preserve">Horizontal value-chain schematic. Boxes: molecule, formulation, primary container, elastomer, needle, mechanism, electronics, assembly, fill-finish, commercialisation/training. Place representative companies underneath the boxes: pharma companies under molecule/formulation; BD, Stevanato, Gerresheimer and West under containers; SHL, Ypsomed, Nemera and Phillips-Medisize under device mechanisms; Aptar under inhalation; specialist contract manufacturers under assembly. Use overlapping brackets where companies span multiple steps. Source: company filings/product portfolios. What it proves: a pharma company can control the drug franchise while relying heavily on external device engineering. Investor takeaway: the most defensible position is usually either proprietary platform ownership or difficult-to-replace integration, not simple filling of somebody else’s mechanism.</w:t>
      </w:r>
    </w:p>
    <w:p>
      <w:r>
        <w:pict>
          <v:rect style="width:0;height:1.5pt" o:hralign="center" o:hrstd="t" o:hr="t"/>
        </w:pict>
      </w:r>
    </w:p>
    <w:bookmarkEnd w:id="38"/>
    <w:bookmarkEnd w:id="39"/>
    <w:bookmarkStart w:id="42" w:name="X4b4a37ada9f3f6f7234508480a592643165f585"/>
    <w:p>
      <w:pPr>
        <w:pStyle w:val="Heading1"/>
      </w:pPr>
      <w:r>
        <w:t xml:space="preserve">INDIA: WHO ACTUALLY OWNS DRUG-DELIVERY CAPABILITY?</w:t>
      </w:r>
    </w:p>
    <w:p>
      <w:pPr>
        <w:pStyle w:val="FirstParagraph"/>
      </w:pPr>
      <w:r>
        <w:t xml:space="preserve">We classify capability conservatively.</w:t>
      </w:r>
      <w:r>
        <w:t xml:space="preserve"> </w:t>
      </w:r>
      <w:r>
        <w:rPr>
          <w:b/>
          <w:bCs/>
        </w:rPr>
        <w:t xml:space="preserve">Owned</w:t>
      </w:r>
      <w:r>
        <w:t xml:space="preserve"> </w:t>
      </w:r>
      <w:r>
        <w:t xml:space="preserve">means public evidence supports in-house or proprietary product/platform development.</w:t>
      </w:r>
      <w:r>
        <w:t xml:space="preserve"> </w:t>
      </w:r>
      <w:r>
        <w:rPr>
          <w:b/>
          <w:bCs/>
        </w:rPr>
        <w:t xml:space="preserve">Licensed</w:t>
      </w:r>
      <w:r>
        <w:t xml:space="preserve"> </w:t>
      </w:r>
      <w:r>
        <w:t xml:space="preserve">means the company has commercial rights to another party’s product or delivery system.</w:t>
      </w:r>
      <w:r>
        <w:t xml:space="preserve"> </w:t>
      </w:r>
      <w:r>
        <w:rPr>
          <w:b/>
          <w:bCs/>
        </w:rPr>
        <w:t xml:space="preserve">Partnered</w:t>
      </w:r>
      <w:r>
        <w:t xml:space="preserve"> </w:t>
      </w:r>
      <w:r>
        <w:t xml:space="preserve">means development/design is shared.</w:t>
      </w:r>
      <w:r>
        <w:t xml:space="preserve"> </w:t>
      </w:r>
      <w:r>
        <w:rPr>
          <w:b/>
          <w:bCs/>
        </w:rPr>
        <w:t xml:space="preserve">Manufacturing only</w:t>
      </w:r>
      <w:r>
        <w:t xml:space="preserve"> </w:t>
      </w:r>
      <w:r>
        <w:t xml:space="preserve">means the company can manufacture or assemble the format without evidence of underlying platform IP.</w:t>
      </w:r>
      <w:r>
        <w:t xml:space="preserve"> </w:t>
      </w:r>
      <w:r>
        <w:rPr>
          <w:b/>
          <w:bCs/>
        </w:rPr>
        <w:t xml:space="preserve">Commercialisation only</w:t>
      </w:r>
      <w:r>
        <w:t xml:space="preserve"> </w:t>
      </w:r>
      <w:r>
        <w:t xml:space="preserve">means it sells a parent or partner product.</w:t>
      </w:r>
      <w:r>
        <w:t xml:space="preserve"> </w:t>
      </w:r>
      <w:r>
        <w:rPr>
          <w:b/>
          <w:bCs/>
        </w:rPr>
        <w:t xml:space="preserve">Development stage</w:t>
      </w:r>
      <w:r>
        <w:t xml:space="preserve"> </w:t>
      </w:r>
      <w:r>
        <w:t xml:space="preserve">means a disclosed product is not yet a commercial franchise.</w:t>
      </w:r>
      <w:r>
        <w:t xml:space="preserve"> </w:t>
      </w:r>
      <w:r>
        <w:rPr>
          <w:b/>
          <w:bCs/>
        </w:rPr>
        <w:t xml:space="preserve">Not identified</w:t>
      </w:r>
      <w:r>
        <w:t xml:space="preserve"> </w:t>
      </w:r>
      <w:r>
        <w:t xml:space="preserve">means we found no current public evidence. It does not prove a capability cannot exist privately.</w:t>
      </w:r>
    </w:p>
    <w:bookmarkStart w:id="40" w:name="Xb71b050a7a3ba0951e8807447a000cd0ae54faf"/>
    <w:p>
      <w:pPr>
        <w:pStyle w:val="Heading3"/>
      </w:pPr>
      <w:r>
        <w:t xml:space="preserve">Exhibit 17A: Indian pharma capability is uneven: inhalation leadership does not automatically translate into injectable-device ownership</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Company</w:t>
            </w:r>
          </w:p>
        </w:tc>
        <w:tc>
          <w:tcPr/>
          <w:p>
            <w:pPr>
              <w:pStyle w:val="Compact"/>
            </w:pPr>
            <w:r>
              <w:t xml:space="preserve">Inhalation</w:t>
            </w:r>
          </w:p>
        </w:tc>
        <w:tc>
          <w:tcPr/>
          <w:p>
            <w:pPr>
              <w:pStyle w:val="Compact"/>
            </w:pPr>
            <w:r>
              <w:t xml:space="preserve">Autoinjector</w:t>
            </w:r>
          </w:p>
        </w:tc>
        <w:tc>
          <w:tcPr/>
          <w:p>
            <w:pPr>
              <w:pStyle w:val="Compact"/>
            </w:pPr>
            <w:r>
              <w:t xml:space="preserve">Pen</w:t>
            </w:r>
          </w:p>
        </w:tc>
        <w:tc>
          <w:tcPr/>
          <w:p>
            <w:pPr>
              <w:pStyle w:val="Compact"/>
            </w:pPr>
            <w:r>
              <w:t xml:space="preserve">PFS</w:t>
            </w:r>
          </w:p>
        </w:tc>
        <w:tc>
          <w:tcPr/>
          <w:p>
            <w:pPr>
              <w:pStyle w:val="Compact"/>
            </w:pPr>
            <w:r>
              <w:t xml:space="preserve">Insulin / GLP-1</w:t>
            </w:r>
          </w:p>
        </w:tc>
        <w:tc>
          <w:tcPr/>
          <w:p>
            <w:pPr>
              <w:pStyle w:val="Compact"/>
            </w:pPr>
            <w:r>
              <w:t xml:space="preserve">Transdermal</w:t>
            </w:r>
          </w:p>
        </w:tc>
        <w:tc>
          <w:tcPr/>
          <w:p>
            <w:pPr>
              <w:pStyle w:val="Compact"/>
            </w:pPr>
            <w:r>
              <w:t xml:space="preserve">Pump / wearable</w:t>
            </w:r>
          </w:p>
        </w:tc>
        <w:tc>
          <w:tcPr/>
          <w:p>
            <w:pPr>
              <w:pStyle w:val="Compact"/>
            </w:pPr>
            <w:r>
              <w:t xml:space="preserve">Implant / local</w:t>
            </w:r>
          </w:p>
        </w:tc>
        <w:tc>
          <w:tcPr/>
          <w:p>
            <w:pPr>
              <w:pStyle w:val="Compact"/>
            </w:pPr>
            <w:r>
              <w:t xml:space="preserve">Female-health device</w:t>
            </w:r>
          </w:p>
        </w:tc>
      </w:tr>
      <w:tr>
        <w:tc>
          <w:tcPr/>
          <w:p>
            <w:pPr>
              <w:pStyle w:val="Compact"/>
            </w:pPr>
            <w:r>
              <w:rPr>
                <w:b/>
                <w:bCs/>
              </w:rPr>
              <w:t xml:space="preserve">Zydus</w:t>
            </w:r>
          </w:p>
        </w:tc>
        <w:tc>
          <w:tcPr/>
          <w:p>
            <w:pPr>
              <w:pStyle w:val="Compact"/>
            </w:pPr>
            <w:r>
              <w:t xml:space="preserve">Owned / Mfg</w:t>
            </w:r>
          </w:p>
        </w:tc>
        <w:tc>
          <w:tcPr/>
          <w:p>
            <w:pPr>
              <w:pStyle w:val="Compact"/>
            </w:pPr>
            <w:r>
              <w:t xml:space="preserve">Not identified</w:t>
            </w:r>
          </w:p>
        </w:tc>
        <w:tc>
          <w:tcPr/>
          <w:p>
            <w:pPr>
              <w:pStyle w:val="Compact"/>
            </w:pPr>
            <w:r>
              <w:t xml:space="preserve">Developed product platform</w:t>
            </w:r>
          </w:p>
        </w:tc>
        <w:tc>
          <w:tcPr/>
          <w:p>
            <w:pPr>
              <w:pStyle w:val="Compact"/>
            </w:pPr>
            <w:r>
              <w:t xml:space="preserve">Mfg</w:t>
            </w:r>
          </w:p>
        </w:tc>
        <w:tc>
          <w:tcPr/>
          <w:p>
            <w:pPr>
              <w:pStyle w:val="Compact"/>
            </w:pPr>
            <w:r>
              <w:t xml:space="preserve">Developed semaglutide platform</w:t>
            </w:r>
          </w:p>
        </w:tc>
        <w:tc>
          <w:tcPr/>
          <w:p>
            <w:pPr>
              <w:pStyle w:val="Compact"/>
            </w:pPr>
            <w:r>
              <w:t xml:space="preserve">Owned / Mfg</w:t>
            </w:r>
          </w:p>
        </w:tc>
        <w:tc>
          <w:tcPr/>
          <w:p>
            <w:pPr>
              <w:pStyle w:val="Compact"/>
            </w:pPr>
            <w:r>
              <w:t xml:space="preserve">Not identified</w:t>
            </w:r>
          </w:p>
        </w:tc>
        <w:tc>
          <w:tcPr/>
          <w:p>
            <w:pPr>
              <w:pStyle w:val="Compact"/>
            </w:pPr>
            <w:r>
              <w:t xml:space="preserve">Not identified</w:t>
            </w:r>
          </w:p>
        </w:tc>
        <w:tc>
          <w:tcPr/>
          <w:p>
            <w:pPr>
              <w:pStyle w:val="Compact"/>
            </w:pPr>
            <w:r>
              <w:t xml:space="preserve">Transdermal contraceptive product</w:t>
            </w:r>
          </w:p>
        </w:tc>
      </w:tr>
      <w:tr>
        <w:tc>
          <w:tcPr/>
          <w:p>
            <w:pPr>
              <w:pStyle w:val="Compact"/>
            </w:pPr>
            <w:r>
              <w:rPr>
                <w:b/>
                <w:bCs/>
              </w:rPr>
              <w:t xml:space="preserve">Lupin</w:t>
            </w:r>
          </w:p>
        </w:tc>
        <w:tc>
          <w:tcPr/>
          <w:p>
            <w:pPr>
              <w:pStyle w:val="Compact"/>
            </w:pPr>
            <w:r>
              <w:t xml:space="preserve">Owned</w:t>
            </w:r>
          </w:p>
        </w:tc>
        <w:tc>
          <w:tcPr/>
          <w:p>
            <w:pPr>
              <w:pStyle w:val="Compact"/>
            </w:pPr>
            <w:r>
              <w:t xml:space="preserve">Not identified</w:t>
            </w:r>
          </w:p>
        </w:tc>
        <w:tc>
          <w:tcPr/>
          <w:p>
            <w:pPr>
              <w:pStyle w:val="Compact"/>
            </w:pPr>
            <w:r>
              <w:t xml:space="preserve">Licensed</w:t>
            </w:r>
          </w:p>
        </w:tc>
        <w:tc>
          <w:tcPr/>
          <w:p>
            <w:pPr>
              <w:pStyle w:val="Compact"/>
            </w:pPr>
            <w:r>
              <w:t xml:space="preserve">Injectable development</w:t>
            </w:r>
          </w:p>
        </w:tc>
        <w:tc>
          <w:tcPr/>
          <w:p>
            <w:pPr>
              <w:pStyle w:val="Compact"/>
            </w:pPr>
            <w:r>
              <w:t xml:space="preserve">Licensed semaglutide</w:t>
            </w:r>
          </w:p>
        </w:tc>
        <w:tc>
          <w:tcPr/>
          <w:p>
            <w:pPr>
              <w:pStyle w:val="Compact"/>
            </w:pPr>
            <w:r>
              <w:t xml:space="preserve">Not material identified</w:t>
            </w:r>
          </w:p>
        </w:tc>
        <w:tc>
          <w:tcPr/>
          <w:p>
            <w:pPr>
              <w:pStyle w:val="Compact"/>
            </w:pPr>
            <w:r>
              <w:t xml:space="preserve">Connected inhaler partnered</w:t>
            </w:r>
          </w:p>
        </w:tc>
        <w:tc>
          <w:tcPr/>
          <w:p>
            <w:pPr>
              <w:pStyle w:val="Compact"/>
            </w:pPr>
            <w:r>
              <w:t xml:space="preserve">Not identified</w:t>
            </w:r>
          </w:p>
        </w:tc>
        <w:tc>
          <w:tcPr/>
          <w:p>
            <w:pPr>
              <w:pStyle w:val="Compact"/>
            </w:pPr>
            <w:r>
              <w:t xml:space="preserve">Not material</w:t>
            </w:r>
          </w:p>
        </w:tc>
      </w:tr>
      <w:tr>
        <w:tc>
          <w:tcPr/>
          <w:p>
            <w:pPr>
              <w:pStyle w:val="Compact"/>
            </w:pPr>
            <w:r>
              <w:rPr>
                <w:b/>
                <w:bCs/>
              </w:rPr>
              <w:t xml:space="preserve">Sun Pharma</w:t>
            </w:r>
          </w:p>
        </w:tc>
        <w:tc>
          <w:tcPr/>
          <w:p>
            <w:pPr>
              <w:pStyle w:val="Compact"/>
            </w:pPr>
            <w:r>
              <w:t xml:space="preserve">Not core</w:t>
            </w:r>
          </w:p>
        </w:tc>
        <w:tc>
          <w:tcPr/>
          <w:p>
            <w:pPr>
              <w:pStyle w:val="Compact"/>
            </w:pPr>
            <w:r>
              <w:t xml:space="preserve">Not identified</w:t>
            </w:r>
          </w:p>
        </w:tc>
        <w:tc>
          <w:tcPr/>
          <w:p>
            <w:pPr>
              <w:pStyle w:val="Compact"/>
            </w:pPr>
            <w:r>
              <w:t xml:space="preserve">External supplier</w:t>
            </w:r>
          </w:p>
        </w:tc>
        <w:tc>
          <w:tcPr/>
          <w:p>
            <w:pPr>
              <w:pStyle w:val="Compact"/>
            </w:pPr>
            <w:r>
              <w:t xml:space="preserve">Commercial/Mfg formats</w:t>
            </w:r>
          </w:p>
        </w:tc>
        <w:tc>
          <w:tcPr/>
          <w:p>
            <w:pPr>
              <w:pStyle w:val="Compact"/>
            </w:pPr>
            <w:r>
              <w:t xml:space="preserve">Commercial product, external device</w:t>
            </w:r>
          </w:p>
        </w:tc>
        <w:tc>
          <w:tcPr/>
          <w:p>
            <w:pPr>
              <w:pStyle w:val="Compact"/>
            </w:pPr>
            <w:r>
              <w:t xml:space="preserve">Not core</w:t>
            </w:r>
          </w:p>
        </w:tc>
        <w:tc>
          <w:tcPr/>
          <w:p>
            <w:pPr>
              <w:pStyle w:val="Compact"/>
            </w:pPr>
            <w:r>
              <w:t xml:space="preserve">Not identified</w:t>
            </w:r>
          </w:p>
        </w:tc>
        <w:tc>
          <w:tcPr/>
          <w:p>
            <w:pPr>
              <w:pStyle w:val="Compact"/>
            </w:pPr>
            <w:r>
              <w:t xml:space="preserve">Depot formulations</w:t>
            </w:r>
          </w:p>
        </w:tc>
        <w:tc>
          <w:tcPr/>
          <w:p>
            <w:pPr>
              <w:pStyle w:val="Compact"/>
            </w:pPr>
            <w:r>
              <w:t xml:space="preserve">Organon pending</w:t>
            </w:r>
          </w:p>
        </w:tc>
      </w:tr>
      <w:tr>
        <w:tc>
          <w:tcPr/>
          <w:p>
            <w:pPr>
              <w:pStyle w:val="Compact"/>
            </w:pPr>
            <w:r>
              <w:rPr>
                <w:b/>
                <w:bCs/>
              </w:rPr>
              <w:t xml:space="preserve">Cipla</w:t>
            </w:r>
          </w:p>
        </w:tc>
        <w:tc>
          <w:tcPr/>
          <w:p>
            <w:pPr>
              <w:pStyle w:val="Compact"/>
            </w:pPr>
            <w:r>
              <w:t xml:space="preserve">Owned</w:t>
            </w:r>
          </w:p>
        </w:tc>
        <w:tc>
          <w:tcPr/>
          <w:p>
            <w:pPr>
              <w:pStyle w:val="Compact"/>
            </w:pPr>
            <w:r>
              <w:t xml:space="preserve">Not identified</w:t>
            </w:r>
          </w:p>
        </w:tc>
        <w:tc>
          <w:tcPr/>
          <w:p>
            <w:pPr>
              <w:pStyle w:val="Compact"/>
            </w:pPr>
            <w:r>
              <w:t xml:space="preserve">Not material</w:t>
            </w:r>
          </w:p>
        </w:tc>
        <w:tc>
          <w:tcPr/>
          <w:p>
            <w:pPr>
              <w:pStyle w:val="Compact"/>
            </w:pPr>
            <w:r>
              <w:t xml:space="preserve">Not core thesis</w:t>
            </w:r>
          </w:p>
        </w:tc>
        <w:tc>
          <w:tcPr/>
          <w:p>
            <w:pPr>
              <w:pStyle w:val="Compact"/>
            </w:pPr>
            <w:r>
              <w:t xml:space="preserve">Not material</w:t>
            </w:r>
          </w:p>
        </w:tc>
        <w:tc>
          <w:tcPr/>
          <w:p>
            <w:pPr>
              <w:pStyle w:val="Compact"/>
            </w:pPr>
            <w:r>
              <w:t xml:space="preserve">Not material</w:t>
            </w:r>
          </w:p>
        </w:tc>
        <w:tc>
          <w:tcPr/>
          <w:p>
            <w:pPr>
              <w:pStyle w:val="Compact"/>
            </w:pPr>
            <w:r>
              <w:t xml:space="preserve">Not identified</w:t>
            </w:r>
          </w:p>
        </w:tc>
        <w:tc>
          <w:tcPr/>
          <w:p>
            <w:pPr>
              <w:pStyle w:val="Compact"/>
            </w:pPr>
            <w:r>
              <w:t xml:space="preserve">Not identified</w:t>
            </w:r>
          </w:p>
        </w:tc>
        <w:tc>
          <w:tcPr/>
          <w:p>
            <w:pPr>
              <w:pStyle w:val="Compact"/>
            </w:pPr>
            <w:r>
              <w:t xml:space="preserve">Not material</w:t>
            </w:r>
          </w:p>
        </w:tc>
      </w:tr>
      <w:tr>
        <w:tc>
          <w:tcPr/>
          <w:p>
            <w:pPr>
              <w:pStyle w:val="Compact"/>
            </w:pPr>
            <w:r>
              <w:rPr>
                <w:b/>
                <w:bCs/>
              </w:rPr>
              <w:t xml:space="preserve">Glenmark</w:t>
            </w:r>
          </w:p>
        </w:tc>
        <w:tc>
          <w:tcPr/>
          <w:p>
            <w:pPr>
              <w:pStyle w:val="Compact"/>
            </w:pPr>
            <w:r>
              <w:t xml:space="preserve">Owned</w:t>
            </w:r>
          </w:p>
        </w:tc>
        <w:tc>
          <w:tcPr/>
          <w:p>
            <w:pPr>
              <w:pStyle w:val="Compact"/>
            </w:pPr>
            <w:r>
              <w:t xml:space="preserve">Not identified</w:t>
            </w:r>
          </w:p>
        </w:tc>
        <w:tc>
          <w:tcPr/>
          <w:p>
            <w:pPr>
              <w:pStyle w:val="Compact"/>
            </w:pPr>
            <w:r>
              <w:t xml:space="preserve">Not material</w:t>
            </w:r>
          </w:p>
        </w:tc>
        <w:tc>
          <w:tcPr/>
          <w:p>
            <w:pPr>
              <w:pStyle w:val="Compact"/>
            </w:pPr>
            <w:r>
              <w:t xml:space="preserve">Mfg capability</w:t>
            </w:r>
          </w:p>
        </w:tc>
        <w:tc>
          <w:tcPr/>
          <w:p>
            <w:pPr>
              <w:pStyle w:val="Compact"/>
            </w:pPr>
            <w:r>
              <w:t xml:space="preserve">Not material</w:t>
            </w:r>
          </w:p>
        </w:tc>
        <w:tc>
          <w:tcPr/>
          <w:p>
            <w:pPr>
              <w:pStyle w:val="Compact"/>
            </w:pPr>
            <w:r>
              <w:t xml:space="preserve">Not core</w:t>
            </w:r>
          </w:p>
        </w:tc>
        <w:tc>
          <w:tcPr/>
          <w:p>
            <w:pPr>
              <w:pStyle w:val="Compact"/>
            </w:pPr>
            <w:r>
              <w:t xml:space="preserve">Digital inhaler</w:t>
            </w:r>
          </w:p>
        </w:tc>
        <w:tc>
          <w:tcPr/>
          <w:p>
            <w:pPr>
              <w:pStyle w:val="Compact"/>
            </w:pPr>
            <w:r>
              <w:t xml:space="preserve">Not identified</w:t>
            </w:r>
          </w:p>
        </w:tc>
        <w:tc>
          <w:tcPr/>
          <w:p>
            <w:pPr>
              <w:pStyle w:val="Compact"/>
            </w:pPr>
            <w:r>
              <w:t xml:space="preserve">Not material</w:t>
            </w:r>
          </w:p>
        </w:tc>
      </w:tr>
      <w:tr>
        <w:tc>
          <w:tcPr/>
          <w:p>
            <w:pPr>
              <w:pStyle w:val="Compact"/>
            </w:pPr>
            <w:r>
              <w:rPr>
                <w:b/>
                <w:bCs/>
              </w:rPr>
              <w:t xml:space="preserve">Torrent</w:t>
            </w:r>
          </w:p>
        </w:tc>
        <w:tc>
          <w:tcPr/>
          <w:p>
            <w:pPr>
              <w:pStyle w:val="Compact"/>
            </w:pPr>
            <w:r>
              <w:t xml:space="preserve">Limited</w:t>
            </w:r>
          </w:p>
        </w:tc>
        <w:tc>
          <w:tcPr/>
          <w:p>
            <w:pPr>
              <w:pStyle w:val="Compact"/>
            </w:pPr>
            <w:r>
              <w:t xml:space="preserve">Not identified</w:t>
            </w:r>
          </w:p>
        </w:tc>
        <w:tc>
          <w:tcPr/>
          <w:p>
            <w:pPr>
              <w:pStyle w:val="Compact"/>
            </w:pPr>
            <w:r>
              <w:t xml:space="preserve">Not identified</w:t>
            </w:r>
          </w:p>
        </w:tc>
        <w:tc>
          <w:tcPr/>
          <w:p>
            <w:pPr>
              <w:pStyle w:val="Compact"/>
            </w:pPr>
            <w:r>
              <w:t xml:space="preserve">Commercial</w:t>
            </w:r>
          </w:p>
        </w:tc>
        <w:tc>
          <w:tcPr/>
          <w:p>
            <w:pPr>
              <w:pStyle w:val="Compact"/>
            </w:pPr>
            <w:r>
              <w:t xml:space="preserve">Not material</w:t>
            </w:r>
          </w:p>
        </w:tc>
        <w:tc>
          <w:tcPr/>
          <w:p>
            <w:pPr>
              <w:pStyle w:val="Compact"/>
            </w:pPr>
            <w:r>
              <w:t xml:space="preserve">Not identified</w:t>
            </w:r>
          </w:p>
        </w:tc>
        <w:tc>
          <w:tcPr/>
          <w:p>
            <w:pPr>
              <w:pStyle w:val="Compact"/>
            </w:pPr>
            <w:r>
              <w:t xml:space="preserve">Not identified</w:t>
            </w:r>
          </w:p>
        </w:tc>
        <w:tc>
          <w:tcPr/>
          <w:p>
            <w:pPr>
              <w:pStyle w:val="Compact"/>
            </w:pPr>
            <w:r>
              <w:t xml:space="preserve">LAI development</w:t>
            </w:r>
          </w:p>
        </w:tc>
        <w:tc>
          <w:tcPr/>
          <w:p>
            <w:pPr>
              <w:pStyle w:val="Compact"/>
            </w:pPr>
            <w:r>
              <w:t xml:space="preserve">Not material</w:t>
            </w:r>
          </w:p>
        </w:tc>
      </w:tr>
      <w:tr>
        <w:tc>
          <w:tcPr/>
          <w:p>
            <w:pPr>
              <w:pStyle w:val="Compact"/>
            </w:pPr>
            <w:r>
              <w:rPr>
                <w:b/>
                <w:bCs/>
              </w:rPr>
              <w:t xml:space="preserve">GSK Pharma India</w:t>
            </w:r>
          </w:p>
        </w:tc>
        <w:tc>
          <w:tcPr/>
          <w:p>
            <w:pPr>
              <w:pStyle w:val="Compact"/>
            </w:pPr>
            <w:r>
              <w:t xml:space="preserve">Commercialisation of parent platform</w:t>
            </w:r>
          </w:p>
        </w:tc>
        <w:tc>
          <w:tcPr/>
          <w:p>
            <w:pPr>
              <w:pStyle w:val="Compact"/>
            </w:pPr>
            <w:r>
              <w:t xml:space="preserve">Parent exposure</w:t>
            </w:r>
          </w:p>
        </w:tc>
        <w:tc>
          <w:tcPr/>
          <w:p>
            <w:pPr>
              <w:pStyle w:val="Compact"/>
            </w:pPr>
            <w:r>
              <w:t xml:space="preserve">Not material</w:t>
            </w:r>
          </w:p>
        </w:tc>
        <w:tc>
          <w:tcPr/>
          <w:p>
            <w:pPr>
              <w:pStyle w:val="Compact"/>
            </w:pPr>
            <w:r>
              <w:t xml:space="preserve">Parent exposure</w:t>
            </w:r>
          </w:p>
        </w:tc>
        <w:tc>
          <w:tcPr/>
          <w:p>
            <w:pPr>
              <w:pStyle w:val="Compact"/>
            </w:pPr>
            <w:r>
              <w:t xml:space="preserve">Not material</w:t>
            </w:r>
          </w:p>
        </w:tc>
        <w:tc>
          <w:tcPr/>
          <w:p>
            <w:pPr>
              <w:pStyle w:val="Compact"/>
            </w:pPr>
            <w:r>
              <w:t xml:space="preserve">Not material</w:t>
            </w:r>
          </w:p>
        </w:tc>
        <w:tc>
          <w:tcPr/>
          <w:p>
            <w:pPr>
              <w:pStyle w:val="Compact"/>
            </w:pPr>
            <w:r>
              <w:t xml:space="preserve">Not material</w:t>
            </w:r>
          </w:p>
        </w:tc>
        <w:tc>
          <w:tcPr/>
          <w:p>
            <w:pPr>
              <w:pStyle w:val="Compact"/>
            </w:pPr>
            <w:r>
              <w:t xml:space="preserve">Not material</w:t>
            </w:r>
          </w:p>
        </w:tc>
        <w:tc>
          <w:tcPr/>
          <w:p>
            <w:pPr>
              <w:pStyle w:val="Compact"/>
            </w:pPr>
            <w:r>
              <w:t xml:space="preserve">Parent exposure</w:t>
            </w:r>
          </w:p>
        </w:tc>
      </w:tr>
      <w:tr>
        <w:tc>
          <w:tcPr/>
          <w:p>
            <w:pPr>
              <w:pStyle w:val="Compact"/>
            </w:pPr>
            <w:r>
              <w:rPr>
                <w:b/>
                <w:bCs/>
              </w:rPr>
              <w:t xml:space="preserve">Novartis India</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r>
      <w:tr>
        <w:tc>
          <w:tcPr/>
          <w:p>
            <w:pPr>
              <w:pStyle w:val="Compact"/>
            </w:pPr>
            <w:r>
              <w:rPr>
                <w:b/>
                <w:bCs/>
              </w:rPr>
              <w:t xml:space="preserve">Organon</w:t>
            </w:r>
          </w:p>
        </w:tc>
        <w:tc>
          <w:tcPr/>
          <w:p>
            <w:pPr>
              <w:pStyle w:val="Compact"/>
            </w:pPr>
            <w:r>
              <w:t xml:space="preserve">Not core</w:t>
            </w:r>
          </w:p>
        </w:tc>
        <w:tc>
          <w:tcPr/>
          <w:p>
            <w:pPr>
              <w:pStyle w:val="Compact"/>
            </w:pPr>
            <w:r>
              <w:t xml:space="preserve">Not core</w:t>
            </w:r>
          </w:p>
        </w:tc>
        <w:tc>
          <w:tcPr/>
          <w:p>
            <w:pPr>
              <w:pStyle w:val="Compact"/>
            </w:pPr>
            <w:r>
              <w:t xml:space="preserve">Not core</w:t>
            </w:r>
          </w:p>
        </w:tc>
        <w:tc>
          <w:tcPr/>
          <w:p>
            <w:pPr>
              <w:pStyle w:val="Compact"/>
            </w:pPr>
            <w:r>
              <w:t xml:space="preserve">Selected products</w:t>
            </w:r>
          </w:p>
        </w:tc>
        <w:tc>
          <w:tcPr/>
          <w:p>
            <w:pPr>
              <w:pStyle w:val="Compact"/>
            </w:pPr>
            <w:r>
              <w:t xml:space="preserve">Not core</w:t>
            </w:r>
          </w:p>
        </w:tc>
        <w:tc>
          <w:tcPr/>
          <w:p>
            <w:pPr>
              <w:pStyle w:val="Compact"/>
            </w:pPr>
            <w:r>
              <w:t xml:space="preserve">Selected women’s health</w:t>
            </w:r>
          </w:p>
        </w:tc>
        <w:tc>
          <w:tcPr/>
          <w:p>
            <w:pPr>
              <w:pStyle w:val="Compact"/>
            </w:pPr>
            <w:r>
              <w:t xml:space="preserve">Not core</w:t>
            </w:r>
          </w:p>
        </w:tc>
        <w:tc>
          <w:tcPr/>
          <w:p>
            <w:pPr>
              <w:pStyle w:val="Compact"/>
            </w:pPr>
            <w:r>
              <w:t xml:space="preserve">Nexplanon</w:t>
            </w:r>
          </w:p>
        </w:tc>
        <w:tc>
          <w:tcPr/>
          <w:p>
            <w:pPr>
              <w:pStyle w:val="Compact"/>
            </w:pPr>
            <w:r>
              <w:t xml:space="preserve">Owned implant franchise; licensed IUD</w:t>
            </w:r>
          </w:p>
        </w:tc>
      </w:tr>
      <w:tr>
        <w:tc>
          <w:tcPr/>
          <w:p>
            <w:pPr>
              <w:pStyle w:val="Compact"/>
            </w:pPr>
            <w:r>
              <w:rPr>
                <w:b/>
                <w:bCs/>
              </w:rPr>
              <w:t xml:space="preserve">Biocon</w:t>
            </w:r>
          </w:p>
        </w:tc>
        <w:tc>
          <w:tcPr/>
          <w:p>
            <w:pPr>
              <w:pStyle w:val="Compact"/>
            </w:pPr>
            <w:r>
              <w:t xml:space="preserve">Not core</w:t>
            </w:r>
          </w:p>
        </w:tc>
        <w:tc>
          <w:tcPr/>
          <w:p>
            <w:pPr>
              <w:pStyle w:val="Compact"/>
            </w:pPr>
            <w:r>
              <w:t xml:space="preserve">Approved product exposure</w:t>
            </w:r>
          </w:p>
        </w:tc>
        <w:tc>
          <w:tcPr/>
          <w:p>
            <w:pPr>
              <w:pStyle w:val="Compact"/>
            </w:pPr>
            <w:r>
              <w:t xml:space="preserve">Partnered / Mfg</w:t>
            </w:r>
          </w:p>
        </w:tc>
        <w:tc>
          <w:tcPr/>
          <w:p>
            <w:pPr>
              <w:pStyle w:val="Compact"/>
            </w:pPr>
            <w:r>
              <w:t xml:space="preserve">Mfg</w:t>
            </w:r>
          </w:p>
        </w:tc>
        <w:tc>
          <w:tcPr/>
          <w:p>
            <w:pPr>
              <w:pStyle w:val="Compact"/>
            </w:pPr>
            <w:r>
              <w:t xml:space="preserve">Insulin pen Mfg/partnered</w:t>
            </w:r>
          </w:p>
        </w:tc>
        <w:tc>
          <w:tcPr/>
          <w:p>
            <w:pPr>
              <w:pStyle w:val="Compact"/>
            </w:pPr>
            <w:r>
              <w:t xml:space="preserve">Not core</w:t>
            </w:r>
          </w:p>
        </w:tc>
        <w:tc>
          <w:tcPr/>
          <w:p>
            <w:pPr>
              <w:pStyle w:val="Compact"/>
            </w:pPr>
            <w:r>
              <w:t xml:space="preserve">Not identified</w:t>
            </w:r>
          </w:p>
        </w:tc>
        <w:tc>
          <w:tcPr/>
          <w:p>
            <w:pPr>
              <w:pStyle w:val="Compact"/>
            </w:pPr>
            <w:r>
              <w:t xml:space="preserve">Not identified</w:t>
            </w:r>
          </w:p>
        </w:tc>
        <w:tc>
          <w:tcPr/>
          <w:p>
            <w:pPr>
              <w:pStyle w:val="Compact"/>
            </w:pPr>
            <w:r>
              <w:t xml:space="preserve">Not core</w:t>
            </w:r>
          </w:p>
        </w:tc>
      </w:tr>
    </w:tbl>
    <w:p>
      <w:pPr>
        <w:pStyle w:val="BodyText"/>
      </w:pPr>
      <w:r>
        <w:t xml:space="preserve">The parent-subsidiary distinction is critical. Global Novartis owns or commercialises major injected products such as Kesimpta and Leqvio. Kesimpta is a monthly self-administered subcutaneous therapy, while inclisiran uses an infrequent injection schedule after loading. Those global franchises do not automatically belong economically to listed Novartis India. The listed entity and the global parent operate through separate legal entities in India.</w:t>
      </w:r>
    </w:p>
    <w:p>
      <w:pPr>
        <w:pStyle w:val="BodyText"/>
      </w:pPr>
      <w:r>
        <w:t xml:space="preserve">The same applies to GSK. Ellipta is a valuable global GSK platform. GSK Pharma India can benefit commercially from India sales of products using the platform, but we would not value the listed Indian company as if it owned worldwide Ellipta IP.</w:t>
      </w:r>
    </w:p>
    <w:bookmarkEnd w:id="40"/>
    <w:bookmarkStart w:id="41" w:name="X84f54598cab0eee37e299039be76f71d16123c3"/>
    <w:p>
      <w:pPr>
        <w:pStyle w:val="Heading3"/>
      </w:pPr>
      <w:r>
        <w:t xml:space="preserve">Exhibit 17B: Device control matters more than the number of device-shaped products in the catalogue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Company</w:t>
            </w:r>
          </w:p>
        </w:tc>
        <w:tc>
          <w:tcPr/>
          <w:p>
            <w:pPr>
              <w:pStyle w:val="Compact"/>
            </w:pPr>
            <w:r>
              <w:t xml:space="preserve">Device manufacturing</w:t>
            </w:r>
          </w:p>
        </w:tc>
        <w:tc>
          <w:tcPr/>
          <w:p>
            <w:pPr>
              <w:pStyle w:val="Compact"/>
            </w:pPr>
            <w:r>
              <w:t xml:space="preserve">Device IP / development evidence</w:t>
            </w:r>
          </w:p>
        </w:tc>
        <w:tc>
          <w:tcPr/>
          <w:p>
            <w:pPr>
              <w:pStyle w:val="Compact"/>
            </w:pPr>
            <w:r>
              <w:t xml:space="preserve">Key partnership / licence</w:t>
            </w:r>
          </w:p>
        </w:tc>
        <w:tc>
          <w:tcPr/>
          <w:p>
            <w:pPr>
              <w:pStyle w:val="Compact"/>
            </w:pPr>
            <w:r>
              <w:t xml:space="preserve">Regulated-market proof</w:t>
            </w:r>
          </w:p>
        </w:tc>
        <w:tc>
          <w:tcPr/>
          <w:p>
            <w:pPr>
              <w:pStyle w:val="Compact"/>
            </w:pPr>
            <w:r>
              <w:t xml:space="preserve">Commercial geography</w:t>
            </w:r>
          </w:p>
        </w:tc>
      </w:tr>
      <w:tr>
        <w:tc>
          <w:tcPr/>
          <w:p>
            <w:pPr>
              <w:pStyle w:val="Compact"/>
            </w:pPr>
            <w:r>
              <w:t xml:space="preserve">Zydus</w:t>
            </w:r>
          </w:p>
        </w:tc>
        <w:tc>
          <w:tcPr/>
          <w:p>
            <w:pPr>
              <w:pStyle w:val="Compact"/>
            </w:pPr>
            <w:r>
              <w:t xml:space="preserve">Yes, across selected complex formats</w:t>
            </w:r>
          </w:p>
        </w:tc>
        <w:tc>
          <w:tcPr/>
          <w:p>
            <w:pPr>
              <w:pStyle w:val="Compact"/>
            </w:pPr>
            <w:r>
              <w:t xml:space="preserve">Strongest in transdermal; semaglutide product developed internally</w:t>
            </w:r>
          </w:p>
        </w:tc>
        <w:tc>
          <w:tcPr/>
          <w:p>
            <w:pPr>
              <w:pStyle w:val="Compact"/>
            </w:pPr>
            <w:r>
              <w:t xml:space="preserve">Lupin is licensee of Zydus semaglutide</w:t>
            </w:r>
          </w:p>
        </w:tc>
        <w:tc>
          <w:tcPr/>
          <w:p>
            <w:pPr>
              <w:pStyle w:val="Compact"/>
            </w:pPr>
            <w:r>
              <w:t xml:space="preserve">US transdermal approvals</w:t>
            </w:r>
          </w:p>
        </w:tc>
        <w:tc>
          <w:tcPr/>
          <w:p>
            <w:pPr>
              <w:pStyle w:val="Compact"/>
            </w:pPr>
            <w:r>
              <w:t xml:space="preserve">India + regulated markets</w:t>
            </w:r>
          </w:p>
        </w:tc>
      </w:tr>
      <w:tr>
        <w:tc>
          <w:tcPr/>
          <w:p>
            <w:pPr>
              <w:pStyle w:val="Compact"/>
            </w:pPr>
            <w:r>
              <w:t xml:space="preserve">Lupin</w:t>
            </w:r>
          </w:p>
        </w:tc>
        <w:tc>
          <w:tcPr/>
          <w:p>
            <w:pPr>
              <w:pStyle w:val="Compact"/>
            </w:pPr>
            <w:r>
              <w:t xml:space="preserve">Yes, especially inhalation</w:t>
            </w:r>
          </w:p>
        </w:tc>
        <w:tc>
          <w:tcPr/>
          <w:p>
            <w:pPr>
              <w:pStyle w:val="Compact"/>
            </w:pPr>
            <w:r>
              <w:t xml:space="preserve">Strong respiratory evidence</w:t>
            </w:r>
          </w:p>
        </w:tc>
        <w:tc>
          <w:tcPr/>
          <w:p>
            <w:pPr>
              <w:pStyle w:val="Compact"/>
            </w:pPr>
            <w:r>
              <w:t xml:space="preserve">Zydus semaglutide; other external GLP-1 partners</w:t>
            </w:r>
          </w:p>
        </w:tc>
        <w:tc>
          <w:tcPr/>
          <w:p>
            <w:pPr>
              <w:pStyle w:val="Compact"/>
            </w:pPr>
            <w:r>
              <w:t xml:space="preserve">US/China/other respiratory approvals</w:t>
            </w:r>
          </w:p>
        </w:tc>
        <w:tc>
          <w:tcPr/>
          <w:p>
            <w:pPr>
              <w:pStyle w:val="Compact"/>
            </w:pPr>
            <w:r>
              <w:t xml:space="preserve">Global</w:t>
            </w:r>
          </w:p>
        </w:tc>
      </w:tr>
      <w:tr>
        <w:tc>
          <w:tcPr/>
          <w:p>
            <w:pPr>
              <w:pStyle w:val="Compact"/>
            </w:pPr>
            <w:r>
              <w:t xml:space="preserve">Sun</w:t>
            </w:r>
          </w:p>
        </w:tc>
        <w:tc>
          <w:tcPr/>
          <w:p>
            <w:pPr>
              <w:pStyle w:val="Compact"/>
            </w:pPr>
            <w:r>
              <w:t xml:space="preserve">Sterile/formulation capability</w:t>
            </w:r>
          </w:p>
        </w:tc>
        <w:tc>
          <w:tcPr/>
          <w:p>
            <w:pPr>
              <w:pStyle w:val="Compact"/>
            </w:pPr>
            <w:r>
              <w:t xml:space="preserve">Limited evidence of proprietary pen platform</w:t>
            </w:r>
          </w:p>
        </w:tc>
        <w:tc>
          <w:tcPr/>
          <w:p>
            <w:pPr>
              <w:pStyle w:val="Compact"/>
            </w:pPr>
            <w:r>
              <w:t xml:space="preserve">European device suppliers; Organon transaction pending</w:t>
            </w:r>
          </w:p>
        </w:tc>
        <w:tc>
          <w:tcPr/>
          <w:p>
            <w:pPr>
              <w:pStyle w:val="Compact"/>
            </w:pPr>
            <w:r>
              <w:t xml:space="preserve">Broad pharma, but pen device externally sourced</w:t>
            </w:r>
          </w:p>
        </w:tc>
        <w:tc>
          <w:tcPr/>
          <w:p>
            <w:pPr>
              <w:pStyle w:val="Compact"/>
            </w:pPr>
            <w:r>
              <w:t xml:space="preserve">Global</w:t>
            </w:r>
          </w:p>
        </w:tc>
      </w:tr>
      <w:tr>
        <w:tc>
          <w:tcPr/>
          <w:p>
            <w:pPr>
              <w:pStyle w:val="Compact"/>
            </w:pPr>
            <w:r>
              <w:t xml:space="preserve">Cipla</w:t>
            </w:r>
          </w:p>
        </w:tc>
        <w:tc>
          <w:tcPr/>
          <w:p>
            <w:pPr>
              <w:pStyle w:val="Compact"/>
            </w:pPr>
            <w:r>
              <w:t xml:space="preserve">Yes, respiratory</w:t>
            </w:r>
          </w:p>
        </w:tc>
        <w:tc>
          <w:tcPr/>
          <w:p>
            <w:pPr>
              <w:pStyle w:val="Compact"/>
            </w:pPr>
            <w:r>
              <w:t xml:space="preserve">Strong inhalation development evidence</w:t>
            </w:r>
          </w:p>
        </w:tc>
        <w:tc>
          <w:tcPr/>
          <w:p>
            <w:pPr>
              <w:pStyle w:val="Compact"/>
            </w:pPr>
            <w:r>
              <w:t xml:space="preserve">Product-specific partners</w:t>
            </w:r>
          </w:p>
        </w:tc>
        <w:tc>
          <w:tcPr/>
          <w:p>
            <w:pPr>
              <w:pStyle w:val="Compact"/>
            </w:pPr>
            <w:r>
              <w:t xml:space="preserve">Multiple FDA respiratory approvals</w:t>
            </w:r>
          </w:p>
        </w:tc>
        <w:tc>
          <w:tcPr/>
          <w:p>
            <w:pPr>
              <w:pStyle w:val="Compact"/>
            </w:pPr>
            <w:r>
              <w:t xml:space="preserve">Global</w:t>
            </w:r>
          </w:p>
        </w:tc>
      </w:tr>
      <w:tr>
        <w:tc>
          <w:tcPr/>
          <w:p>
            <w:pPr>
              <w:pStyle w:val="Compact"/>
            </w:pPr>
            <w:r>
              <w:t xml:space="preserve">Glenmark</w:t>
            </w:r>
          </w:p>
        </w:tc>
        <w:tc>
          <w:tcPr/>
          <w:p>
            <w:pPr>
              <w:pStyle w:val="Compact"/>
            </w:pPr>
            <w:r>
              <w:t xml:space="preserve">Yes, respiratory</w:t>
            </w:r>
          </w:p>
        </w:tc>
        <w:tc>
          <w:tcPr/>
          <w:p>
            <w:pPr>
              <w:pStyle w:val="Compact"/>
            </w:pPr>
            <w:r>
              <w:t xml:space="preserve">Strong inhalation development evidence</w:t>
            </w:r>
          </w:p>
        </w:tc>
        <w:tc>
          <w:tcPr/>
          <w:p>
            <w:pPr>
              <w:pStyle w:val="Compact"/>
            </w:pPr>
            <w:r>
              <w:t xml:space="preserve">Selected licensing</w:t>
            </w:r>
          </w:p>
        </w:tc>
        <w:tc>
          <w:tcPr/>
          <w:p>
            <w:pPr>
              <w:pStyle w:val="Compact"/>
            </w:pPr>
            <w:r>
              <w:t xml:space="preserve">FDA respiratory approval</w:t>
            </w:r>
          </w:p>
        </w:tc>
        <w:tc>
          <w:tcPr/>
          <w:p>
            <w:pPr>
              <w:pStyle w:val="Compact"/>
            </w:pPr>
            <w:r>
              <w:t xml:space="preserve">Global</w:t>
            </w:r>
          </w:p>
        </w:tc>
      </w:tr>
      <w:tr>
        <w:tc>
          <w:tcPr/>
          <w:p>
            <w:pPr>
              <w:pStyle w:val="Compact"/>
            </w:pPr>
            <w:r>
              <w:t xml:space="preserve">Biocon</w:t>
            </w:r>
          </w:p>
        </w:tc>
        <w:tc>
          <w:tcPr/>
          <w:p>
            <w:pPr>
              <w:pStyle w:val="Compact"/>
            </w:pPr>
            <w:r>
              <w:t xml:space="preserve">Yes, pens/cartridges/PFS</w:t>
            </w:r>
          </w:p>
        </w:tc>
        <w:tc>
          <w:tcPr/>
          <w:p>
            <w:pPr>
              <w:pStyle w:val="Compact"/>
            </w:pPr>
            <w:r>
              <w:t xml:space="preserve">Integration capability; historical device design partnered</w:t>
            </w:r>
          </w:p>
        </w:tc>
        <w:tc>
          <w:tcPr/>
          <w:p>
            <w:pPr>
              <w:pStyle w:val="Compact"/>
            </w:pPr>
            <w:r>
              <w:t xml:space="preserve">Haselmeier, BD</w:t>
            </w:r>
          </w:p>
        </w:tc>
        <w:tc>
          <w:tcPr/>
          <w:p>
            <w:pPr>
              <w:pStyle w:val="Compact"/>
            </w:pPr>
            <w:r>
              <w:t xml:space="preserve">Biosimilar/insulin regulated markets</w:t>
            </w:r>
          </w:p>
        </w:tc>
        <w:tc>
          <w:tcPr/>
          <w:p>
            <w:pPr>
              <w:pStyle w:val="Compact"/>
            </w:pPr>
            <w:r>
              <w:t xml:space="preserve">Global</w:t>
            </w:r>
          </w:p>
        </w:tc>
      </w:tr>
    </w:tbl>
    <w:p>
      <w:pPr>
        <w:pStyle w:val="BodyText"/>
      </w:pPr>
      <w:r>
        <w:rPr>
          <w:b/>
          <w:bCs/>
        </w:rPr>
        <w:t xml:space="preserve">Analyst build:</w:t>
      </w:r>
      <w:r>
        <w:t xml:space="preserve"> </w:t>
      </w:r>
      <w:r>
        <w:t xml:space="preserve">Two capability matrices, using only the classifications above. Do not use a green cell unless evidence supports platform ownership or development. Source each row to company filings, regulatory approvals and licensing disclosures. What it proves: a product list materially overstates proprietary device exposure. Investor takeaway: we would pay more for internal formulation-device development plus regulated-market execution than for marketing rights alone.</w:t>
      </w:r>
    </w:p>
    <w:p>
      <w:r>
        <w:pict>
          <v:rect style="width:0;height:1.5pt" o:hralign="center" o:hrstd="t" o:hr="t"/>
        </w:pict>
      </w:r>
    </w:p>
    <w:bookmarkEnd w:id="41"/>
    <w:bookmarkEnd w:id="42"/>
    <w:bookmarkStart w:id="47" w:name="X1419db5fa8d4b3848d5630376af5919fd56cf30"/>
    <w:p>
      <w:pPr>
        <w:pStyle w:val="Heading1"/>
      </w:pPr>
      <w:r>
        <w:t xml:space="preserve">ZYDUS, LUPIN AND SUN: THREE DIFFERENT WAYS TO PLAY THE THEME</w:t>
      </w:r>
    </w:p>
    <w:bookmarkStart w:id="43" w:name="X84eeb8a38e633e20aa6017e3879c0beb3ad77eb"/>
    <w:p>
      <w:pPr>
        <w:pStyle w:val="Heading2"/>
      </w:pPr>
      <w:r>
        <w:t xml:space="preserve">ZYDUS: REUSABLE DELIVERY AND TRANSDERMAL DEPTH GIVE IT THE BEST CURRENT BREADTH</w:t>
      </w:r>
    </w:p>
    <w:p>
      <w:pPr>
        <w:pStyle w:val="FirstParagraph"/>
      </w:pPr>
      <w:r>
        <w:t xml:space="preserve">Zydus is our preferred name for broad current exposure because it shows evidence across more than one delivery platform. Its transdermal capability is the cleanest. The company operates a dedicated manufacturing operation and has won US approvals for multiple patch products. This is a genuine complex-formulation franchise because patch adhesion, drug release and skin delivery must remain consistent across a regulated product’s life.</w:t>
      </w:r>
    </w:p>
    <w:p>
      <w:pPr>
        <w:pStyle w:val="BodyText"/>
      </w:pPr>
      <w:r>
        <w:t xml:space="preserve">The semaglutide platform is more interesting commercially. A reusable pen can appear less premium than a single-use disposable device, but the economics can be better in a price-sensitive chronic market. Once the reusable mechanism is placed with the patient, future purchases can focus on compatible cartridges rather than repeating the full mechanical bill of materials. This matters only if patients persist and the refill ecosystem is reliable. If cartridges are not widely stocked, the durable device becomes switching friction in the wrong direction.</w:t>
      </w:r>
    </w:p>
    <w:p>
      <w:pPr>
        <w:pStyle w:val="BodyText"/>
      </w:pPr>
      <w:r>
        <w:t xml:space="preserve">The Lupin agreement is evidence that Zydus can monetise the platform beyond its own field force. Lupin pays for co-marketing access while Zydus keeps its own brands. That means Zydus can earn on both internal commercialisation and partner-led volume.</w:t>
      </w:r>
    </w:p>
    <w:p>
      <w:pPr>
        <w:pStyle w:val="BodyText"/>
      </w:pPr>
      <w:r>
        <w:t xml:space="preserve">The main risk to the thesis is not a competing pen. It is that oral incretins reduce the value patients place on injection convenience. A reusable pen can be the lowest-cost injection architecture and still lose to a sufficiently effective, safe and affordable tablet. We therefore value Zydus for</w:t>
      </w:r>
      <w:r>
        <w:t xml:space="preserve"> </w:t>
      </w:r>
      <w:r>
        <w:rPr>
          <w:b/>
          <w:bCs/>
        </w:rPr>
        <w:t xml:space="preserve">controlled delivery capability</w:t>
      </w:r>
      <w:r>
        <w:t xml:space="preserve">, not because we assume injections will structurally dominate all future GLP-1 therapy.</w:t>
      </w:r>
    </w:p>
    <w:bookmarkEnd w:id="43"/>
    <w:bookmarkStart w:id="44" w:name="X4129df5cefb58b2eee9d6276611befdd4639581"/>
    <w:p>
      <w:pPr>
        <w:pStyle w:val="Heading2"/>
      </w:pPr>
      <w:r>
        <w:t xml:space="preserve">LUPIN: RESPIRATORY IS THE REAL DEVICE MOAT; GLP-1 IS CURRENTLY A COMMERCIAL ACCESS STORY</w:t>
      </w:r>
    </w:p>
    <w:p>
      <w:pPr>
        <w:pStyle w:val="FirstParagraph"/>
      </w:pPr>
      <w:r>
        <w:t xml:space="preserve">Lupin’s respiratory work is deeper than the usual claim that the company</w:t>
      </w:r>
      <w:r>
        <w:t xml:space="preserve"> </w:t>
      </w:r>
      <w:r>
        <w:t xml:space="preserve">“has inhalers”</w:t>
      </w:r>
      <w:r>
        <w:t xml:space="preserve">. The company has spent material R&amp;D resources on inhalation and complex injectables, operates dedicated development capability and has successfully commercialised products in regulated markets. It is also developing lower-global-warming-potential pMDIs using next-generation propellants. The combination of aerosol formulation, analytical characterisation, device interaction and regulatory filing capability is difficult to replicate quickly.</w:t>
      </w:r>
    </w:p>
    <w:p>
      <w:pPr>
        <w:pStyle w:val="BodyText"/>
      </w:pPr>
      <w:r>
        <w:t xml:space="preserve">This should matter for future combination products because the organisational muscle is transferable. Lupin already knows how to manage a product where the device cannot be separated from the dosage form during development. It has experience with manufacturing tolerances, device-linked quality attributes and regulator scrutiny.</w:t>
      </w:r>
    </w:p>
    <w:p>
      <w:pPr>
        <w:pStyle w:val="BodyText"/>
      </w:pPr>
      <w:r>
        <w:t xml:space="preserve">Yet the transfer is not complete. A DPI powder bed, pMDI metering valve and autoinjector drive spring solve different engineering problems. Lupin’s current semaglutide reusable pen is Zydus-developed. Its connected inhaler Adhero used Aptar technology. Those partnerships are commercially sensible, but they should not be recast as internally owned device platforms.</w:t>
      </w:r>
    </w:p>
    <w:p>
      <w:pPr>
        <w:pStyle w:val="BodyText"/>
      </w:pPr>
      <w:r>
        <w:t xml:space="preserve">We therefore see two separate Lupin investment arguments. Respiratory is a</w:t>
      </w:r>
      <w:r>
        <w:t xml:space="preserve"> </w:t>
      </w:r>
      <w:r>
        <w:rPr>
          <w:b/>
          <w:bCs/>
        </w:rPr>
        <w:t xml:space="preserve">proven combination-product moat</w:t>
      </w:r>
      <w:r>
        <w:t xml:space="preserve">. GLP-1 delivery is currently a</w:t>
      </w:r>
      <w:r>
        <w:t xml:space="preserve"> </w:t>
      </w:r>
      <w:r>
        <w:rPr>
          <w:b/>
          <w:bCs/>
        </w:rPr>
        <w:t xml:space="preserve">licensed route to market</w:t>
      </w:r>
      <w:r>
        <w:t xml:space="preserve">, with the potential to become more strategic if Lupin builds or acquires deeper injectable-device capabilities over time.</w:t>
      </w:r>
    </w:p>
    <w:bookmarkEnd w:id="44"/>
    <w:bookmarkStart w:id="46" w:name="X9069fb3cf49bf8c49bc5081683c19e0c93aab9d"/>
    <w:p>
      <w:pPr>
        <w:pStyle w:val="Heading2"/>
      </w:pPr>
      <w:r>
        <w:t xml:space="preserve">SUN PHARMA: DO NOT FORCE A DEVICE THESIS TODAY; ORGANON WOULD CHANGE THE ANSWER</w:t>
      </w:r>
    </w:p>
    <w:p>
      <w:pPr>
        <w:pStyle w:val="FirstParagraph"/>
      </w:pPr>
      <w:r>
        <w:t xml:space="preserve">Sun’s strength is specialty pharmaceutical commercialisation and product development, not currently a broad proprietary delivery-device platform. Its India semaglutide launch demonstrates good execution and access to high-quality external devices, but the company itself says the pens were developed by specialist suppliers in Europe.</w:t>
      </w:r>
    </w:p>
    <w:p>
      <w:pPr>
        <w:pStyle w:val="BodyText"/>
      </w:pPr>
      <w:r>
        <w:t xml:space="preserve">Sun does have experience with long-acting depots and prefilled injectable formats. These capabilities matter because formulation, sterile manufacturing and sustained release are part of advanced delivery. Yet they are not the same as owning the pen, pump or inhaler architecture.</w:t>
      </w:r>
    </w:p>
    <w:p>
      <w:pPr>
        <w:pStyle w:val="BodyText"/>
      </w:pPr>
      <w:r>
        <w:t xml:space="preserve">Organon would materially change the strategic picture. The agreed acquisition values Organon at an enterprise value of roughly US$11.75bn. Organon generated US$6.2bn of 2025 revenue, including US$1.75bn in women’s health. Nexplanon alone generated US$921m. Shareholders approved the deal in July 2026, with closing targeted subject to remaining conditions.</w:t>
      </w:r>
    </w:p>
    <w:p>
      <w:pPr>
        <w:pStyle w:val="BodyText"/>
      </w:pPr>
      <w:r>
        <w:t xml:space="preserve">If completed, Sun would acquire more than a contraceptive rod. Nexplanon’s value includes physician familiarity, insertion and removal training, regulatory files, manufacturing, a five-year efficacy profile and an established women’s-health commercial network.</w:t>
      </w:r>
      <w:r>
        <w:t xml:space="preserve"> </w:t>
      </w:r>
      <w:r>
        <w:rPr>
          <w:b/>
          <w:bCs/>
        </w:rPr>
        <w:t xml:space="preserve">This is a commercial drug-device moat, even if Sun did not invent it.</w:t>
      </w:r>
    </w:p>
    <w:p>
      <w:pPr>
        <w:pStyle w:val="BodyText"/>
      </w:pPr>
      <w:r>
        <w:t xml:space="preserve">The near-term risk is equally clear. The five-year label can reduce reinsertion frequency. Organon’s first-quarter weakness already shows the timing effect. Sun would also be integrating a large global business and carrying the economics of the acquisition, so investors should not treat Nexplanon revenue as a free addition to the existing specialty portfolio.</w:t>
      </w:r>
    </w:p>
    <w:bookmarkStart w:id="45" w:name="X35eadb8f1a33db9015de29a776eaa78d373c8e0"/>
    <w:p>
      <w:pPr>
        <w:pStyle w:val="Heading3"/>
      </w:pPr>
      <w:r>
        <w:t xml:space="preserve">Exhibit 18: Our preferred stocks map to three different delivery theses</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Company</w:t>
            </w:r>
          </w:p>
        </w:tc>
        <w:tc>
          <w:tcPr/>
          <w:p>
            <w:pPr>
              <w:pStyle w:val="Compact"/>
              <w:jc w:val="right"/>
            </w:pPr>
            <w:r>
              <w:t xml:space="preserve">Current theme rank</w:t>
            </w:r>
          </w:p>
        </w:tc>
        <w:tc>
          <w:tcPr/>
          <w:p>
            <w:pPr>
              <w:pStyle w:val="Compact"/>
            </w:pPr>
            <w:r>
              <w:t xml:space="preserve">What we actually like</w:t>
            </w:r>
          </w:p>
        </w:tc>
        <w:tc>
          <w:tcPr/>
          <w:p>
            <w:pPr>
              <w:pStyle w:val="Compact"/>
            </w:pPr>
            <w:r>
              <w:t xml:space="preserve">What we do not give credit for</w:t>
            </w:r>
          </w:p>
        </w:tc>
        <w:tc>
          <w:tcPr/>
          <w:p>
            <w:pPr>
              <w:pStyle w:val="Compact"/>
            </w:pPr>
            <w:r>
              <w:t xml:space="preserve">Main delivery-theme risk</w:t>
            </w:r>
          </w:p>
        </w:tc>
      </w:tr>
      <w:tr>
        <w:tc>
          <w:tcPr/>
          <w:p>
            <w:pPr>
              <w:pStyle w:val="Compact"/>
            </w:pPr>
            <w:r>
              <w:rPr>
                <w:b/>
                <w:bCs/>
              </w:rPr>
              <w:t xml:space="preserve">Zydus, OP</w:t>
            </w:r>
          </w:p>
        </w:tc>
        <w:tc>
          <w:tcPr/>
          <w:p>
            <w:pPr>
              <w:pStyle w:val="Compact"/>
              <w:jc w:val="right"/>
            </w:pPr>
            <w:r>
              <w:rPr>
                <w:b/>
                <w:bCs/>
              </w:rPr>
              <w:t xml:space="preserve">1</w:t>
            </w:r>
          </w:p>
        </w:tc>
        <w:tc>
          <w:tcPr/>
          <w:p>
            <w:pPr>
              <w:pStyle w:val="Compact"/>
            </w:pPr>
            <w:r>
              <w:t xml:space="preserve">Reusable semaglutide product platform, regulated transdermal, broad formulation manufacturing</w:t>
            </w:r>
          </w:p>
        </w:tc>
        <w:tc>
          <w:tcPr/>
          <w:p>
            <w:pPr>
              <w:pStyle w:val="Compact"/>
            </w:pPr>
            <w:r>
              <w:t xml:space="preserve">Full internal ownership of every pen mechanical component is not disclosed</w:t>
            </w:r>
          </w:p>
        </w:tc>
        <w:tc>
          <w:tcPr/>
          <w:p>
            <w:pPr>
              <w:pStyle w:val="Compact"/>
            </w:pPr>
            <w:r>
              <w:t xml:space="preserve">Oral GLP-1 and weak cartridge persistence</w:t>
            </w:r>
          </w:p>
        </w:tc>
      </w:tr>
      <w:tr>
        <w:tc>
          <w:tcPr/>
          <w:p>
            <w:pPr>
              <w:pStyle w:val="Compact"/>
            </w:pPr>
            <w:r>
              <w:rPr>
                <w:b/>
                <w:bCs/>
              </w:rPr>
              <w:t xml:space="preserve">Lupin, OP</w:t>
            </w:r>
          </w:p>
        </w:tc>
        <w:tc>
          <w:tcPr/>
          <w:p>
            <w:pPr>
              <w:pStyle w:val="Compact"/>
              <w:jc w:val="right"/>
            </w:pPr>
            <w:r>
              <w:rPr>
                <w:b/>
                <w:bCs/>
              </w:rPr>
              <w:t xml:space="preserve">2</w:t>
            </w:r>
          </w:p>
        </w:tc>
        <w:tc>
          <w:tcPr/>
          <w:p>
            <w:pPr>
              <w:pStyle w:val="Compact"/>
            </w:pPr>
            <w:r>
              <w:t xml:space="preserve">Deep regulated-market respiratory combination-product capability</w:t>
            </w:r>
          </w:p>
        </w:tc>
        <w:tc>
          <w:tcPr/>
          <w:p>
            <w:pPr>
              <w:pStyle w:val="Compact"/>
            </w:pPr>
            <w:r>
              <w:t xml:space="preserve">Current Zydus semaglutide device is not Lupin-owned</w:t>
            </w:r>
          </w:p>
        </w:tc>
        <w:tc>
          <w:tcPr/>
          <w:p>
            <w:pPr>
              <w:pStyle w:val="Compact"/>
            </w:pPr>
            <w:r>
              <w:t xml:space="preserve">Respiratory price erosion; injectable device ownership remains limited</w:t>
            </w:r>
          </w:p>
        </w:tc>
      </w:tr>
      <w:tr>
        <w:tc>
          <w:tcPr/>
          <w:p>
            <w:pPr>
              <w:pStyle w:val="Compact"/>
            </w:pPr>
            <w:r>
              <w:rPr>
                <w:b/>
                <w:bCs/>
              </w:rPr>
              <w:t xml:space="preserve">Sun, OP</w:t>
            </w:r>
          </w:p>
        </w:tc>
        <w:tc>
          <w:tcPr/>
          <w:p>
            <w:pPr>
              <w:pStyle w:val="Compact"/>
              <w:jc w:val="right"/>
            </w:pPr>
            <w:r>
              <w:rPr>
                <w:b/>
                <w:bCs/>
              </w:rPr>
              <w:t xml:space="preserve">3 today</w:t>
            </w:r>
          </w:p>
        </w:tc>
        <w:tc>
          <w:tcPr/>
          <w:p>
            <w:pPr>
              <w:pStyle w:val="Compact"/>
            </w:pPr>
            <w:r>
              <w:t xml:space="preserve">Specialty formulations, depots/PFS, strong commercial access</w:t>
            </w:r>
          </w:p>
        </w:tc>
        <w:tc>
          <w:tcPr/>
          <w:p>
            <w:pPr>
              <w:pStyle w:val="Compact"/>
            </w:pPr>
            <w:r>
              <w:t xml:space="preserve">Current India semaglutide pens are externally developed</w:t>
            </w:r>
          </w:p>
        </w:tc>
        <w:tc>
          <w:tcPr/>
          <w:p>
            <w:pPr>
              <w:pStyle w:val="Compact"/>
            </w:pPr>
            <w:r>
              <w:t xml:space="preserve">Organon deal completion/integration; outsourced-device dependence</w:t>
            </w:r>
          </w:p>
        </w:tc>
      </w:tr>
    </w:tbl>
    <w:p>
      <w:pPr>
        <w:pStyle w:val="BodyText"/>
      </w:pPr>
      <w:r>
        <w:rPr>
          <w:b/>
          <w:bCs/>
        </w:rPr>
        <w:t xml:space="preserve">Analyst build:</w:t>
      </w:r>
      <w:r>
        <w:t xml:space="preserve"> </w:t>
      </w:r>
      <w:r>
        <w:t xml:space="preserve">Ranking table. No chart axis. Add a separate dotted box titled</w:t>
      </w:r>
      <w:r>
        <w:t xml:space="preserve"> </w:t>
      </w:r>
      <w:r>
        <w:t xml:space="preserve">“If Organon closes”</w:t>
      </w:r>
      <w:r>
        <w:t xml:space="preserve"> </w:t>
      </w:r>
      <w:r>
        <w:t xml:space="preserve">showing Sun’s exposure to women’s-health devices stepping up materially. Do not change current capability cells until closing. Sources: company disclosures and transaction documents. What it proves: all three preferred stocks can participate in advanced delivery, but the source and ownership of the moat are different. Investor takeaway: Zydus has the best current breadth, Lupin the best respiratory proof and Sun the largest potential acquisition-led step-up.</w:t>
      </w:r>
    </w:p>
    <w:p>
      <w:r>
        <w:pict>
          <v:rect style="width:0;height:1.5pt" o:hralign="center" o:hrstd="t" o:hr="t"/>
        </w:pict>
      </w:r>
    </w:p>
    <w:bookmarkEnd w:id="45"/>
    <w:bookmarkEnd w:id="46"/>
    <w:bookmarkEnd w:id="47"/>
    <w:bookmarkStart w:id="48" w:name="X48103f7fd6307dad3ac6bfae8308e1fbfe89d8f"/>
    <w:p>
      <w:pPr>
        <w:pStyle w:val="Heading1"/>
      </w:pPr>
      <w:r>
        <w:t xml:space="preserve">OTHER INDIAN AND GLOBAL PLAYERS: THE BENCHMARKS MATTER</w:t>
      </w:r>
    </w:p>
    <w:p>
      <w:pPr>
        <w:pStyle w:val="FirstParagraph"/>
      </w:pPr>
      <w:r>
        <w:rPr>
          <w:b/>
          <w:bCs/>
        </w:rPr>
        <w:t xml:space="preserve">Cipla</w:t>
      </w:r>
      <w:r>
        <w:t xml:space="preserve"> </w:t>
      </w:r>
      <w:r>
        <w:t xml:space="preserve">remains one of the strongest Indian respiratory reference companies. Its history in inhaled formulations, regulated-market filings and device-linked manufacturing means it should be compared with Lupin and Glenmark when judging what a real Indian combination-product respiratory platform looks like. Its value in this report is less about a new thematic re-rating and more about establishing the technical benchmark.</w:t>
      </w:r>
    </w:p>
    <w:p>
      <w:pPr>
        <w:pStyle w:val="BodyText"/>
      </w:pPr>
      <w:r>
        <w:rPr>
          <w:b/>
          <w:bCs/>
        </w:rPr>
        <w:t xml:space="preserve">Glenmark</w:t>
      </w:r>
      <w:r>
        <w:t xml:space="preserve"> </w:t>
      </w:r>
      <w:r>
        <w:t xml:space="preserve">has a similar role. The March 2026 Flovent HFA generic approval is tangible regulated-market evidence. Its broader aerosol development footprint and digital-inhaler work add depth. We would still separate connectivity from the core moat: a Bluetooth layer is useful only if it improves adherence, technique or clinical management enough to justify cost.</w:t>
      </w:r>
    </w:p>
    <w:p>
      <w:pPr>
        <w:pStyle w:val="BodyText"/>
      </w:pPr>
      <w:r>
        <w:rPr>
          <w:b/>
          <w:bCs/>
        </w:rPr>
        <w:t xml:space="preserve">Torrent</w:t>
      </w:r>
      <w:r>
        <w:t xml:space="preserve"> </w:t>
      </w:r>
      <w:r>
        <w:t xml:space="preserve">does not currently qualify as a transdermal thesis based on the public evidence we found. Its long-acting injectable and prefilled exposure is more credible. This may change if the company discloses a modern patch pipeline or dedicated manufacturing capability, but the present evidence does not support the manager hypothesis strongly enough.</w:t>
      </w:r>
    </w:p>
    <w:p>
      <w:pPr>
        <w:pStyle w:val="BodyText"/>
      </w:pPr>
      <w:r>
        <w:rPr>
          <w:b/>
          <w:bCs/>
        </w:rPr>
        <w:t xml:space="preserve">GSK</w:t>
      </w:r>
      <w:r>
        <w:t xml:space="preserve"> </w:t>
      </w:r>
      <w:r>
        <w:t xml:space="preserve">is the global respiratory benchmark because Ellipta demonstrates what can happen when a common device architecture is used across multiple molecules and combinations.</w:t>
      </w:r>
      <w:r>
        <w:t xml:space="preserve"> </w:t>
      </w:r>
      <w:r>
        <w:rPr>
          <w:b/>
          <w:bCs/>
        </w:rPr>
        <w:t xml:space="preserve">GSK Pharma India</w:t>
      </w:r>
      <w:r>
        <w:t xml:space="preserve"> </w:t>
      </w:r>
      <w:r>
        <w:t xml:space="preserve">should only receive the India commercial economics that actually sit in the listed company, not the global value of Ellipta.</w:t>
      </w:r>
    </w:p>
    <w:p>
      <w:pPr>
        <w:pStyle w:val="BodyText"/>
      </w:pPr>
      <w:r>
        <w:rPr>
          <w:b/>
          <w:bCs/>
        </w:rPr>
        <w:t xml:space="preserve">Novartis</w:t>
      </w:r>
      <w:r>
        <w:t xml:space="preserve"> </w:t>
      </w:r>
      <w:r>
        <w:t xml:space="preserve">demonstrates another model: infrequent injectable and self-administered specialty products can be major global franchises without creating a corresponding listed Novartis India device thesis. Parent-company product economics must stay with the parent unless the Indian subsidiary’s role is disclosed.</w:t>
      </w:r>
    </w:p>
    <w:p>
      <w:pPr>
        <w:pStyle w:val="BodyText"/>
      </w:pPr>
      <w:r>
        <w:rPr>
          <w:b/>
          <w:bCs/>
        </w:rPr>
        <w:t xml:space="preserve">Organon</w:t>
      </w:r>
      <w:r>
        <w:t xml:space="preserve"> </w:t>
      </w:r>
      <w:r>
        <w:t xml:space="preserve">is the central women’s-health delivery reference. Nexplanon shows that an old hormone can support a durable commercial franchise when the device changes duration and patient behaviour. MIUDELLA also shows that commercial franchises can be built around licensed devices if the company owns the regulatory, training and physician network around them.</w:t>
      </w:r>
    </w:p>
    <w:p>
      <w:pPr>
        <w:pStyle w:val="BodyText"/>
      </w:pPr>
      <w:r>
        <w:rPr>
          <w:b/>
          <w:bCs/>
        </w:rPr>
        <w:t xml:space="preserve">Biocon</w:t>
      </w:r>
      <w:r>
        <w:t xml:space="preserve"> </w:t>
      </w:r>
      <w:r>
        <w:t xml:space="preserve">deserves more recognition as a physical device-manufacturing and integration comparator than a simple product list suggests. It has long manufactured insulin cartridges and pen systems and has worked with specialist designers. Its recent approvals of autoinjector-format biosimilars add product breadth, though we would need explicit disclosure before assigning proprietary autoinjector-platform IP.</w:t>
      </w:r>
    </w:p>
    <w:p>
      <w:pPr>
        <w:pStyle w:val="BodyText"/>
      </w:pPr>
      <w:r>
        <w:t xml:space="preserve">Globally,</w:t>
      </w:r>
      <w:r>
        <w:t xml:space="preserve"> </w:t>
      </w:r>
      <w:r>
        <w:rPr>
          <w:b/>
          <w:bCs/>
        </w:rPr>
        <w:t xml:space="preserve">Ypsomed, SHL Medical, BD, Stevanato, Gerresheimer, West, Nemera, Aptar and Phillips-Medisize</w:t>
      </w:r>
      <w:r>
        <w:t xml:space="preserve"> </w:t>
      </w:r>
      <w:r>
        <w:t xml:space="preserve">demonstrate why the device layer can remain a specialist industry even as drug companies capture most end-market revenue. A blockbuster pharmaceutical company does not need to mould every plastic component itself. It does need reliable access to the critical parts of the system and enough control to prevent the delivery device from becoming the bottleneck.</w:t>
      </w:r>
    </w:p>
    <w:p>
      <w:r>
        <w:pict>
          <v:rect style="width:0;height:1.5pt" o:hralign="center" o:hrstd="t" o:hr="t"/>
        </w:pict>
      </w:r>
    </w:p>
    <w:bookmarkEnd w:id="48"/>
    <w:bookmarkStart w:id="49" w:name="what-this-means-for-investors"/>
    <w:p>
      <w:pPr>
        <w:pStyle w:val="Heading1"/>
      </w:pPr>
      <w:r>
        <w:t xml:space="preserve">WHAT THIS MEANS FOR INVESTORS</w:t>
      </w:r>
    </w:p>
    <w:p>
      <w:pPr>
        <w:pStyle w:val="FirstParagraph"/>
      </w:pPr>
      <w:r>
        <w:rPr>
          <w:b/>
          <w:bCs/>
        </w:rPr>
        <w:t xml:space="preserve">1. Which drug-delivery platforms have the best structural growth?</w:t>
      </w:r>
    </w:p>
    <w:p>
      <w:pPr>
        <w:pStyle w:val="BodyText"/>
      </w:pPr>
      <w:r>
        <w:t xml:space="preserve">We see the fastest structural growth in self-administered injectable systems and automated delivery. Pens and autoinjectors are supported by the expansion of GLP-1s and biologics, while wearables become more relevant as subcutaneous dose volume rises. Automated insulin delivery has a separate growth engine from increasing CGM penetration and algorithmic control. Respiratory is a more mature category, but its device complexity creates durable value. LARC should grow selectively as access improves, although adoption remains heavily dependent on health-system infrastructure and physician training.</w:t>
      </w:r>
    </w:p>
    <w:p>
      <w:pPr>
        <w:pStyle w:val="BodyText"/>
      </w:pPr>
      <w:r>
        <w:rPr>
          <w:b/>
          <w:bCs/>
        </w:rPr>
        <w:t xml:space="preserve">2. Which platforms create genuine competitive barriers?</w:t>
      </w:r>
    </w:p>
    <w:p>
      <w:pPr>
        <w:pStyle w:val="BodyText"/>
      </w:pPr>
      <w:r>
        <w:t xml:space="preserve">The highest barriers arise where device performance changes clinical delivery and where manufacturing, human factors and regulation reinforce one another. We place inhalers, integrated pumps, selected implants/local-delivery systems and complex large-volume injectors at the top. Autoinjectors can also have high barriers when viscosity, container compatibility or use requirements are difficult. A simple prefilled syringe around an easy aqueous formulation should not receive the same valuation credit.</w:t>
      </w:r>
    </w:p>
    <w:p>
      <w:pPr>
        <w:pStyle w:val="BodyText"/>
      </w:pPr>
      <w:r>
        <w:rPr>
          <w:b/>
          <w:bCs/>
        </w:rPr>
        <w:t xml:space="preserve">3. Where can oral therapies fight back?</w:t>
      </w:r>
    </w:p>
    <w:p>
      <w:pPr>
        <w:pStyle w:val="BodyText"/>
      </w:pPr>
      <w:r>
        <w:t xml:space="preserve">They can fight back whenever the device exists mainly because chemistry has not yet solved bioavailability or duration. Oral semaglutide and orforglipron demonstrate both routes: improve peptide absorption or replace the peptide with an orally available small molecule. If efficacy, tolerability and cost are close, a tablet remains an exceptionally difficult format to beat.</w:t>
      </w:r>
    </w:p>
    <w:p>
      <w:pPr>
        <w:pStyle w:val="BodyText"/>
      </w:pPr>
      <w:r>
        <w:rPr>
          <w:b/>
          <w:bCs/>
        </w:rPr>
        <w:t xml:space="preserve">4. Which Indian pharma companies have real capability rather than marketing exposure?</w:t>
      </w:r>
    </w:p>
    <w:p>
      <w:pPr>
        <w:pStyle w:val="BodyText"/>
      </w:pPr>
      <w:r>
        <w:t xml:space="preserve">Lupin, Cipla and Glenmark have the clearest regulated-market respiratory development evidence. Zydus has the broadest current evidence across reusable GLP-1 delivery and regulated transdermal products. Biocon has meaningful device manufacturing and integration experience in insulin systems. Sun has strong formulation and commercial capability but limited current evidence of proprietary device engineering. GSK Pharma India and Novartis India should not be credited with all of their global parents’ device IP.</w:t>
      </w:r>
    </w:p>
    <w:p>
      <w:pPr>
        <w:pStyle w:val="BodyText"/>
      </w:pPr>
      <w:r>
        <w:rPr>
          <w:b/>
          <w:bCs/>
        </w:rPr>
        <w:t xml:space="preserve">5. Which of Zydus, Lupin and Sun has the strongest exposure?</w:t>
      </w:r>
    </w:p>
    <w:p>
      <w:pPr>
        <w:pStyle w:val="BodyText"/>
      </w:pPr>
      <w:r>
        <w:rPr>
          <w:b/>
          <w:bCs/>
        </w:rPr>
        <w:t xml:space="preserve">Zydus ranks first today.</w:t>
      </w:r>
      <w:r>
        <w:t xml:space="preserve"> </w:t>
      </w:r>
      <w:r>
        <w:t xml:space="preserve">The reason is breadth plus a greater degree of control around the product platform.</w:t>
      </w:r>
      <w:r>
        <w:t xml:space="preserve"> </w:t>
      </w:r>
      <w:r>
        <w:rPr>
          <w:b/>
          <w:bCs/>
        </w:rPr>
        <w:t xml:space="preserve">Lupin ranks second</w:t>
      </w:r>
      <w:r>
        <w:t xml:space="preserve">, with a deeper respiratory moat but less ownership of its current GLP-1 delivery technology.</w:t>
      </w:r>
      <w:r>
        <w:t xml:space="preserve"> </w:t>
      </w:r>
      <w:r>
        <w:rPr>
          <w:b/>
          <w:bCs/>
        </w:rPr>
        <w:t xml:space="preserve">Sun ranks third on current capability</w:t>
      </w:r>
      <w:r>
        <w:t xml:space="preserve">, but its position changes materially if Organon closes because it would acquire one of the world’s largest women’s-health drug-device franchises.</w:t>
      </w:r>
    </w:p>
    <w:p>
      <w:r>
        <w:pict>
          <v:rect style="width:0;height:1.5pt" o:hralign="center" o:hrstd="t" o:hr="t"/>
        </w:pict>
      </w:r>
    </w:p>
    <w:bookmarkEnd w:id="49"/>
    <w:bookmarkStart w:id="50" w:name="X28b40dca42b2cc37e49d9a5098ff3dbe4c56563"/>
    <w:p>
      <w:pPr>
        <w:pStyle w:val="Heading1"/>
      </w:pPr>
      <w:r>
        <w:t xml:space="preserve">FINAL THOUGHT: THE WINNER IS NOT THE COMPANY WITH THE MOST DEVICES</w:t>
      </w:r>
    </w:p>
    <w:p>
      <w:pPr>
        <w:pStyle w:val="FirstParagraph"/>
      </w:pPr>
      <w:r>
        <w:t xml:space="preserve">Drug delivery is becoming more important, but the investment conclusion is not that pharmaceutical companies should attach devices to more medicines.</w:t>
      </w:r>
    </w:p>
    <w:p>
      <w:pPr>
        <w:pStyle w:val="BodyText"/>
      </w:pPr>
      <w:r>
        <w:t xml:space="preserve">A drug-eluting stent works because local exposure is the therapeutic objective. An inhaler works because the lung is both the route and the target. A contraceptive implant works because removing daily behaviour dramatically changes typical-use performance. An autoinjector works when a complex chronic injection can become a simple home-administered dose. A pump works when continuous or automated delivery produces better disease control. In each case, the device solves a specific problem.</w:t>
      </w:r>
    </w:p>
    <w:p>
      <w:pPr>
        <w:pStyle w:val="BodyText"/>
      </w:pPr>
      <w:r>
        <w:t xml:space="preserve">The reverse is also true. A reusable GLP-1 pen can be commercially better in India precisely because it is less hardware-intensive per refill. An oral incretin can make an elegant injection device less relevant. A connected inhaler that adds cost but does not improve use is not a moat. A wearable pump that improves pharmacology but remains unaffordable will have limited penetration.</w:t>
      </w:r>
    </w:p>
    <w:p>
      <w:pPr>
        <w:pStyle w:val="BodyText"/>
      </w:pPr>
      <w:r>
        <w:rPr>
          <w:b/>
          <w:bCs/>
        </w:rPr>
        <w:t xml:space="preserve">We therefore do not believe the future of pharma is</w:t>
      </w:r>
      <w:r>
        <w:rPr>
          <w:b/>
          <w:bCs/>
        </w:rPr>
        <w:t xml:space="preserve"> </w:t>
      </w:r>
      <w:r>
        <w:rPr>
          <w:b/>
          <w:bCs/>
        </w:rPr>
        <w:t xml:space="preserve">“beyond the pill”</w:t>
      </w:r>
      <w:r>
        <w:rPr>
          <w:b/>
          <w:bCs/>
        </w:rPr>
        <w:t xml:space="preserve"> </w:t>
      </w:r>
      <w:r>
        <w:rPr>
          <w:b/>
          <w:bCs/>
        </w:rPr>
        <w:t xml:space="preserve">in the literal sense. The future is a market in which the route of delivery is increasingly selected with the same discipline as the molecule itself.</w:t>
      </w:r>
    </w:p>
    <w:p>
      <w:pPr>
        <w:pStyle w:val="BodyText"/>
      </w:pPr>
      <w:r>
        <w:t xml:space="preserve">For investors, that changes the question from:</w:t>
      </w:r>
    </w:p>
    <w:p>
      <w:pPr>
        <w:pStyle w:val="BodyText"/>
      </w:pPr>
      <w:r>
        <w:rPr>
          <w:b/>
          <w:bCs/>
        </w:rPr>
        <w:t xml:space="preserve">Who has a device?</w:t>
      </w:r>
    </w:p>
    <w:p>
      <w:pPr>
        <w:pStyle w:val="BodyText"/>
      </w:pPr>
      <w:r>
        <w:t xml:space="preserve">to:</w:t>
      </w:r>
    </w:p>
    <w:p>
      <w:pPr>
        <w:pStyle w:val="BodyText"/>
      </w:pPr>
      <w:r>
        <w:rPr>
          <w:b/>
          <w:bCs/>
        </w:rPr>
        <w:t xml:space="preserve">Who controls the delivery technology that solves an important clinical or behavioural problem, can manufacture it reproducibly, can navigate combination-product regulation, and can do so at a cost the patient and health system will bear?</w:t>
      </w:r>
    </w:p>
    <w:p>
      <w:pPr>
        <w:pStyle w:val="BodyText"/>
      </w:pPr>
      <w:r>
        <w:t xml:space="preserve">On that test, Zydus has the strongest current breadth among our preferred India pharma names, Lupin has the strongest respiratory proof, and Sun’s strategic exposure could change materially with Organon. The common lesson is more important than the ranking:</w:t>
      </w:r>
      <w:r>
        <w:t xml:space="preserve"> </w:t>
      </w:r>
      <w:r>
        <w:rPr>
          <w:b/>
          <w:bCs/>
        </w:rPr>
        <w:t xml:space="preserve">owning the right delivery system for the right molecule is valuable. Owning more devices is not.</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