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4457" w:rsidRDefault="00D64457" w:rsidP="00D64457">
      <w:pPr>
        <w:pStyle w:val="Heading2"/>
        <w:rPr>
          <w:rFonts w:ascii="Times New Roman" w:eastAsia="Times New Roman" w:hAnsi="Times New Roman"/>
          <w:sz w:val="36"/>
        </w:rPr>
      </w:pPr>
      <w:r>
        <w:t>COMPETITION IS BROADER THAN NOVO AND LILLY</w:t>
      </w:r>
    </w:p>
    <w:p w:rsidR="00D64457" w:rsidRDefault="00D64457" w:rsidP="00D64457">
      <w:pPr>
        <w:pStyle w:val="NormalWeb"/>
      </w:pPr>
      <w:r>
        <w:t>The next phase of obesity competition will be decided by differentiation, rather than weight loss alone. Novo and Lilly established the market, but emerging assets are targeting the remaining gaps: efficacy in severe obesity, gastrointestinal tolerability, weekly injection burden, lean-mass preservation and metabolic liver disease. Most new molecules will not replace semaglutide or tirzepatide. The relevant question is whether they can secure a meaningful patient segment through better efficacy, less frequent dosing or broader metabolic benefits.</w:t>
      </w:r>
    </w:p>
    <w:p w:rsidR="00D64457" w:rsidRDefault="00D64457" w:rsidP="00D64457">
      <w:pPr>
        <w:pStyle w:val="NormalWeb"/>
      </w:pPr>
      <w:r>
        <w:rPr>
          <w:rStyle w:val="Strong"/>
        </w:rPr>
        <w:t>Roche’s enicepatide could become a best-in-class efficacy asset, although commercial entry remains several years away.</w:t>
      </w:r>
      <w:r>
        <w:t xml:space="preserve"> Enicepatide is a weekly GLP-1/GIP dual agonist designed to preserve receptor activity and support durable weight loss. Phase II data showed 22.5% placebo-adjusted weight loss at 48 weeks under the efficacy estimand, with no plateau, while about one-quarter of patients on the highest dose lost at least 30% of body weight. This places the molecule above historical semaglutide efficacy and within the upper range of dual agonists, although cross-trial comparisons do not establish superiority to tirzepatide. Phase III trials started in 2026, implying a potential 2029–30 launch. We estimate a $4–6 billion peak-sales opportunity if Phase III confirms more than 20% weight loss with manageable tolerability. Roche is also evaluating combinations with petrelintide, which could improve tolerability and strengthen its obesity franchise.</w:t>
      </w:r>
    </w:p>
    <w:p w:rsidR="00D64457" w:rsidRDefault="00D64457" w:rsidP="00D64457">
      <w:pPr>
        <w:pStyle w:val="NormalWeb"/>
      </w:pPr>
      <w:r>
        <w:rPr>
          <w:rStyle w:val="Strong"/>
        </w:rPr>
        <w:t>Amgen’s MariTide competes through monthly or potentially quarterly dosing rather than clear efficacy superiority.</w:t>
      </w:r>
      <w:r>
        <w:t xml:space="preserve"> MariTide combines GLP-1 receptor activation with GIP receptor antagonism and uses an antibody component to extend dosing frequency. Phase II data showed roughly 16–20% weight loss under the efficacy estimand, with no plateau, while lower doses and slower escalation improved gastrointestinal tolerability. The principal advantage is convenience: reducing injections from weekly to monthly, and potentially quarterly during maintenance, could improve persistence. Phase III data are expected from 2027, supporting a possible 2028–29 launch. We estimate $3–5 billion of peak sales if MariTide delivers near-20% efficacy with a materially lower treatment burden. The molecule may not lead on weight loss, but it could capture patients unwilling to remain on weekly injections.</w:t>
      </w:r>
    </w:p>
    <w:p w:rsidR="00D64457" w:rsidRDefault="00D64457" w:rsidP="00D64457">
      <w:pPr>
        <w:pStyle w:val="NormalWeb"/>
      </w:pPr>
      <w:r>
        <w:rPr>
          <w:rStyle w:val="Strong"/>
        </w:rPr>
        <w:t>Innovent’s mazdutide is already commercial in China and provides the clearest direct evidence of improvement over standard-dose semaglutide.</w:t>
      </w:r>
      <w:r>
        <w:t xml:space="preserve"> Mazdutide combines GLP-1-mediated appetite suppression with glucagon-driven energy expenditure and liver-fat reduction. China approved the drug in 2025. The 9 mg dose produced approximately 18.6% weight loss at 60 weeks, while liver fat declined by more than 70%. In a head-to-head diabetes study, mazdutide delivered greater weight loss than semaglutide 1 mg, although this does not establish superiority to the 2.4 mg Wegovy dose. The product therefore has a credible position in patients requiring combined glucose, weight and liver-fat improvement. We estimate RMB3.5–5.0 billion of peak China sales if higher doses are approved and the liver-disease positioning gains adoption. Mazdutide could become one of Innovent’s largest products and materially broaden the company beyond oncology.</w:t>
      </w:r>
    </w:p>
    <w:p w:rsidR="00D64457" w:rsidRDefault="00D64457" w:rsidP="00D64457">
      <w:pPr>
        <w:pStyle w:val="NormalWeb"/>
      </w:pPr>
      <w:r>
        <w:rPr>
          <w:rStyle w:val="Strong"/>
        </w:rPr>
        <w:t>Boehringer Ingelheim and Zealand’s survodutide is more differentiated in liver and visceral-fat outcomes than in headline weight loss.</w:t>
      </w:r>
      <w:r>
        <w:t xml:space="preserve"> Survodutide is a weekly GLP-1/glucagon dual agonist designed to reduce appetite while increasing energy expenditure and acting directly on the liver. Phase III obesity data showed 13.0% weight loss under the treatment-regimen estimand and 16.6% under the efficacy estimand, below the strongest dual and triple agonists. Gastrointestinal adverse events also remain a constraint. The commercial opportunity therefore depends on differentiated </w:t>
      </w:r>
      <w:r>
        <w:lastRenderedPageBreak/>
        <w:t>benefits in liver fat, visceral adiposity and MASH, rather than obesity efficacy alone. We estimate $2–4 billion of global peak sales, with the upper end dependent on broader metabolic indications. Zealand’s royalty economics are attractive because Boehringer bears most development, manufacturing and commercial costs, allowing a relatively high-margin revenue stream.</w:t>
      </w:r>
    </w:p>
    <w:p w:rsidR="00D64457" w:rsidRDefault="00D64457" w:rsidP="00D64457">
      <w:pPr>
        <w:pStyle w:val="NormalWeb"/>
      </w:pPr>
      <w:r>
        <w:rPr>
          <w:rStyle w:val="Strong"/>
        </w:rPr>
        <w:t>Kailera’s ribupatide has produced high efficacy, but the investment case depends on replicating Chinese results globally.</w:t>
      </w:r>
      <w:r>
        <w:t xml:space="preserve"> Ribupatide is a weekly GLP-1/GIP dual agonist licensed from Hengrui outside Greater China. Chinese studies showed approximately 23.6% weight loss at 36 weeks, placing the molecule among the strongest emerging dual agonists. Kailera has started a global Phase III programme and is also developing an oral formulation, which produced about 12% weight loss at 26 weeks. This creates a potential franchise spanning high-efficacy injections and more convenient oral therapy. A commercial launch outside China is unlikely before 2029–30. We estimate $3–5 billion of ex-China peak sales if global studies reproduce more than 20% weight loss with acceptable discontinuation rates. The opportunity is substantial, but clinical execution risk remains high because the existing evidence is shorter-duration and largely China-based.</w:t>
      </w:r>
    </w:p>
    <w:p w:rsidR="00D64457" w:rsidRDefault="00D64457" w:rsidP="00D64457">
      <w:pPr>
        <w:pStyle w:val="NormalWeb"/>
      </w:pPr>
      <w:r>
        <w:rPr>
          <w:rStyle w:val="Strong"/>
        </w:rPr>
        <w:t>Bofanglutide gives Lupin a differentiated fortnightly obesity product, while Zydus participates through a separate semaglutide strategy.</w:t>
      </w:r>
      <w:r>
        <w:t xml:space="preserve"> Bofanglutide is a long-acting GLP-1 agonist developed by Gan &amp; Lee for dosing once every two weeks. Chinese Phase III data showed approximately 15–19% weight loss at 52 weeks. Its advantage is convenience rather than a new biological mechanism. Lupin secured Indian commercial rights in 2025, giving it access to a differentiated obesity asset without funding global development. We would not expect a material launch before FY29 and estimate ₹5–8 billion of potential peak Indian sales. Zydus is not involved in bofanglutide. Its partnership with Lupin relates to reusable-pen semaglutide, where Zydus provides development and manufacturing capabilities and Lupin contributes distribution. The combined approach gives Lupin both near-term semaglutide exposure and a longer-duration product with stronger dosing differentiation.</w:t>
      </w:r>
    </w:p>
    <w:p w:rsidR="00D64457" w:rsidRDefault="00D64457" w:rsidP="00D64457">
      <w:pPr>
        <w:pStyle w:val="NormalWeb"/>
      </w:pPr>
      <w:r>
        <w:t>Novo and Lilly should retain manufacturing, payer and commercial advantages, but they will no longer define every part of the obesity market. Roche and Kailera are competing on maximum efficacy, Amgen and Gan &amp; Lee on dosing frequency, and Innovent and Boehringer on broader metabolic outcomes. The market is therefore likely to fragment by patient need rather than consolidate around one universal winner. This supports category expansion, but raises the differentiation threshold. New products will need a measurable advantage in efficacy, tolerability, convenience or comorbidity outcomes to retain pricing and generate attractive returns.</w:t>
      </w:r>
    </w:p>
    <w:p w:rsidR="00B6524A" w:rsidRDefault="00B6524A"/>
    <w:sectPr w:rsidR="00B6524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898881">
    <w:abstractNumId w:val="8"/>
  </w:num>
  <w:num w:numId="2" w16cid:durableId="753934697">
    <w:abstractNumId w:val="6"/>
  </w:num>
  <w:num w:numId="3" w16cid:durableId="636227983">
    <w:abstractNumId w:val="5"/>
  </w:num>
  <w:num w:numId="4" w16cid:durableId="2048480986">
    <w:abstractNumId w:val="4"/>
  </w:num>
  <w:num w:numId="5" w16cid:durableId="1015300542">
    <w:abstractNumId w:val="7"/>
  </w:num>
  <w:num w:numId="6" w16cid:durableId="1761559535">
    <w:abstractNumId w:val="3"/>
  </w:num>
  <w:num w:numId="7" w16cid:durableId="577789838">
    <w:abstractNumId w:val="2"/>
  </w:num>
  <w:num w:numId="8" w16cid:durableId="448622696">
    <w:abstractNumId w:val="1"/>
  </w:num>
  <w:num w:numId="9" w16cid:durableId="91200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524A"/>
    <w:rsid w:val="00CB0664"/>
    <w:rsid w:val="00D644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9A615"/>
  <w14:defaultImageDpi w14:val="300"/>
  <w15:docId w15:val="{E8AB6BED-180F-934D-9181-74D739C30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4457"/>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4405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Shirsh Sawarna</cp:lastModifiedBy>
  <cp:revision>2</cp:revision>
  <dcterms:created xsi:type="dcterms:W3CDTF">2013-12-23T23:15:00Z</dcterms:created>
  <dcterms:modified xsi:type="dcterms:W3CDTF">2026-07-23T13:03:00Z</dcterms:modified>
  <cp:category/>
</cp:coreProperties>
</file>