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Mankind Pharma</w:t>
      </w:r>
    </w:p>
    <w:p>
      <w:r>
        <w:t>Buying a 2030s pipeline while the core still needs repair</w:t>
      </w:r>
    </w:p>
    <w:p>
      <w:pPr>
        <w:spacing w:after="100"/>
      </w:pPr>
      <w:r>
        <w:rPr>
          <w:sz w:val="18"/>
        </w:rPr>
        <w:t>16 October 2026</w:t>
      </w:r>
    </w:p>
    <w:p>
      <w:pPr>
        <w:pStyle w:val="Heading1"/>
      </w:pPr>
      <w:r>
        <w:t>ACQUISITION THAT MAY PAY IN 2032-34</w:t>
      </w:r>
    </w:p>
    <w:p>
      <w:r>
        <w:t>Mankind is committing capital to a development programme whose commercial contribution remains several clinical milestones away. On 15 October, it agreed to invest EUR48m in instalments for 70% of Belgium-based Armed Cell Therapeutics (ACTx). The company develops CAR-T therapies, which engineer immune cells to recognise and attack cancer. Its lead programmes target non-Hodgkin lymphoma and small-cell lung cancer. In the established patient-specific approach, immune cells are collected, modified and multiplied outside the body before being returned to the patient. ACTx aims to improve their activity and persistence through additional biological payloads and to reduce cancer escape by targeting multiple cancer markers. It also intends to explore generating CAR-T cells inside the body. These approaches could broaden the use of cell therapy, but the programmes acquired from Lakefront, formerly Galapagos, remain preclinical. Mankind is therefore acquiring control of a scientific platform that still has to demonstrate its clinical and commercial value. [1-3]</w:t>
      </w:r>
    </w:p>
    <w:p>
      <w:r>
        <w:t>The EUR48m entry price is only one part of the capital decision. ACTx acquired the Lakefront programmes for EUR8m upfront, up to US$230m in contingent milestones and a low-single-digit royalty. These are separate asset-acquisition terms; the upfront payment should not automatically be added to Mankind's investment without reconciling the use of funds. Development spending and contingent payments nevertheless have to be considered when assessing the eventual return. The programmes still require manufacturing development, human safety studies, evidence of durable benefit and regulatory approval. A 2032-34 launch is an illustrative success scenario rather than a disclosed company timetable, and investment payback would depend on subsequent uptake and profitability. The investment brings access to specialist science and experienced developers, but its timing is difficult. Domestic productivity, BSV's existing products and acquisition-related debt already require attention and capital. We view another distant development commitment as poorly sequenced against these nearer-term routes to higher cash earnings. [1,2]</w:t>
      </w:r>
    </w:p>
    <w:p>
      <w:pPr>
        <w:pStyle w:val="Heading1"/>
      </w:pPr>
      <w:r>
        <w:t>THE THREE-BALL ACT CONTINUES: ACQUISITION ADDS DEMANDS ON EXPORT EXECUTION</w:t>
      </w:r>
    </w:p>
    <w:p>
      <w:r>
        <w:t>The central issue is the number of capabilities Mankind is trying to build at the same time. Its historical advantage was a domestic selling system: reach more doctors, provide affordable products and convert those relationships into repeat prescriptions. The company is now trying to improve that system's productivity, realise returns from BSV, expand exports and build a research-led portfolio. ACTx adds another development agenda to these existing commitments. Mankind reported Q1 FY27 R&amp;D expenditure of INR98 crore, or 2.4% of sales, against full-year guidance of 2.8-3.0%. Increasing that ratio from 2.4% to 3.0% would absorb 60bps of operating margin before offsets at an unchanged revenue base. The approximately INR500 crore ACTx commitment is also about 1.3 times the simple annualised Q1 research run-rate. The comparison measures scale rather than accounting expense. A larger commitment can be justified by a higher eventual return, but the spending and management decisions arrive before the evidence needed to establish that return. [4]</w:t>
      </w:r>
    </w:p>
    <w:p>
      <w:r>
        <w:t>The capability gap is more important than the oncology label. Mankind already has Panacea's oncology and transplant brands and an Indian licensing arrangement for sintilimab. However, an established sales presence in cancer treatment does not provide a complete CAR-T development platform. Cell engineering, potency testing, manufacturing reproducibility and clinical development require specialist expertise and different operating systems. ACTx brings developers who should carry much of the scientific workload, but Mankind must still govern budgets, evaluate progress and decide when further investment is justified. The same distinction applies to Europe. Its Netherlands subsidiary can hold research assets, but ownership of a Belgian biotechnology company does not immediately create export registrations, distribution or product sales. Capital directed towards ACTx has an opportunity cost against registrations, supply reliability and commercial execution for existing export products. We see a risk that the additional agenda dilutes focus; the announcement does not establish that a particular export team or budget has already been reassigned. [1,7,8]</w:t>
      </w:r>
    </w:p>
    <w:p>
      <w:r>
        <w:t>Even bringing a successful ACTx therapy to India would require a separate execution plan. Local evidence requirements would depend on the eventual product and regulatory pathway, while delivery would require qualified treatment centres, reliable manufacturing, patient identification, safety management and a viable payment model. Patient-specific products add collection, transport and traceability requirements. Mankind's doctor relationships may support referrals, but these operating capabilities must still be developed or secured. Meanwhile, India contributes approximately 85% of group sales. At that mix, each 1 percentage point shortfall in domestic growth requires approximately 5.7 percentage points of additional export growth to preserve group growth, holding the mix constant. Exports have gained share, but the arithmetic leaves domestic execution decisive. Using a rounded INR500 crore commitment, ACTx also equates to 27% of the net debt reduction achieved during FY26. Instalments spread the outflow and do not by themselves imply a delay to FY28 debt-repayment guidance. They nevertheless introduce another claim on cash before BSV's returns and the domestic growth premium have been fully established. [3-6]</w:t>
      </w:r>
    </w:p>
    <w:p>
      <w:pPr>
        <w:pStyle w:val="Heading1"/>
      </w:pPr>
      <w:r>
        <w:t>DOMESTIC RECOVERY STILL HAS TO EARN ITS MULTIPLE</w:t>
      </w:r>
    </w:p>
    <w:p>
      <w:r>
        <w:t>The domestic debate is whether Mankind can restore sustained growth above the market after the disruption to its selling organisation. Q1 secondary sales grew 12.7% against the company's stated IPM comparator of 13.0%, which excludes tirzepatide. The subsequent public market summary shows improvement: Mankind grew 15.7% against 14.7% for IPM in Q2 FY27, while September growth of 17.3% was only marginally ahead of 17.1% for the market. These later figures require reconciliation with the underlying IQVIA extract, but they do not support a blanket claim that September or the entire half-year was weak. The more defensible concern is that a sustained return to the historical growth premium still needs to be demonstrated. Faster market growth can improve absolute sales without establishing that Mankind has recovered the prescription productivity that underpinned its earlier performance. [4,9]</w:t>
      </w:r>
    </w:p>
    <w:p>
      <w:r>
        <w:t>The distinction is clearest at therapy level. In acute medicines, each illness episode creates a new prescribing decision, making regular doctor contact and local product availability central to sales. Management attributed part of the disruption to field-force changes undertaken approximately eighteen months before the Q1 call. Rebuilding those relationships takes time, and a better seasonal market cannot by itself establish regained prescription share. Cardiac and diabetes have a different revenue engine: new patients build the base, while continued refills make it recurring. More doctor coverage creates access, but preferred prescribing and patient persistence determine the return. Changes in treatment mix can also lift market value growth without equivalent demand growth for Mankind's older products. The company reported 19.4% cardiac and 12.7% anti-diabetic growth in Q1, so weakness should be identified within comparable brands and molecules rather than asserted across all chronic therapies. Gastrointestinal products and vitamins similarly need sustained prescriptions and secondary sell-through to establish whether growth reflects demand, pricing or channel ordering. [4]</w:t>
      </w:r>
    </w:p>
    <w:p>
      <w:r>
        <w:t>BSV requires the same discipline at the level where treatment decisions are made. Fertility sales depend on clinic coverage, treatment cycles, protocol inclusion and use per cycle; other women's-health products also depend on hospital access and supply reliability. The acquisition increased Mankind's revenue base immediately, while repeated product use and cash generation must validate the price paid. The peer comparison should therefore assess growth within established franchises and the capital required to produce it. Torrent and Zydus grew faster than Mankind in the published Q2 series, while Mankind grew faster than Sun, making a claim of universal peer outperformance too broad. Our concern remains that Mankind is pursuing domestic repair, BSV returns and a new research platform concurrently. Until domestic share gains and acquisition returns become repeatable, adding another development obligation increases the demands on execution without improving the near-term earnings of the businesses that must fund it. [4,9]</w:t>
      </w:r>
    </w:p>
    <w:p>
      <w:r>
        <w:br w:type="page"/>
      </w:r>
    </w:p>
    <w:p>
      <w:pPr>
        <w:pStyle w:val="Heading1"/>
      </w:pPr>
      <w:r>
        <w:t>EXHIBIT DATA</w:t>
      </w:r>
    </w:p>
    <w:p>
      <w:r>
        <w:t>Exports have gained share, but approximately 85% of group revenue still depends on domestic execution.</w:t>
      </w:r>
    </w:p>
    <w:tbl>
      <w:tblPr>
        <w:tblW w:type="auto" w:w="0"/>
        <w:tblLayout w:type="fixed"/>
        <w:tblLook w:firstColumn="1" w:firstRow="1" w:lastColumn="0" w:lastRow="0" w:noHBand="0" w:noVBand="1" w:val="04A0"/>
      </w:tblPr>
      <w:tblGrid>
        <w:gridCol w:w="2016"/>
        <w:gridCol w:w="2016"/>
        <w:gridCol w:w="2016"/>
        <w:gridCol w:w="2016"/>
        <w:gridCol w:w="2016"/>
      </w:tblGrid>
      <w:tr>
        <w:trPr>
          <w:tblHeader/>
        </w:trPr>
        <w:tc>
          <w:tcPr>
            <w:tcW w:type="dxa" w:w="1584"/>
            <w:vAlign w:val="center"/>
            <w:shd w:fill="E7E7E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sz w:val="19"/>
              </w:rPr>
              <w:t>Quarter</w:t>
            </w:r>
          </w:p>
        </w:tc>
        <w:tc>
          <w:tcPr>
            <w:tcW w:type="dxa" w:w="2160"/>
            <w:vAlign w:val="center"/>
            <w:shd w:fill="E7E7E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sz w:val="19"/>
              </w:rPr>
              <w:t>Domestic INR cr</w:t>
            </w:r>
          </w:p>
        </w:tc>
        <w:tc>
          <w:tcPr>
            <w:tcW w:type="dxa" w:w="1872"/>
            <w:vAlign w:val="center"/>
            <w:shd w:fill="E7E7E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sz w:val="19"/>
              </w:rPr>
              <w:t>Exports INR cr</w:t>
            </w:r>
          </w:p>
        </w:tc>
        <w:tc>
          <w:tcPr>
            <w:tcW w:type="dxa" w:w="1872"/>
            <w:vAlign w:val="center"/>
            <w:shd w:fill="E7E7E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sz w:val="19"/>
              </w:rPr>
              <w:t>Domestic %</w:t>
            </w:r>
          </w:p>
        </w:tc>
        <w:tc>
          <w:tcPr>
            <w:tcW w:type="dxa" w:w="1872"/>
            <w:vAlign w:val="center"/>
            <w:shd w:fill="E7E7E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sz w:val="19"/>
              </w:rPr>
              <w:t>Exports %</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Q4 FY24</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2,155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267</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88.98</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11.02</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Q1 FY25</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2,609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259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90.97</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9.03</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Q2 FY25</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2,780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281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90.82</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9.18</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Q3 FY25</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2,742</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457</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85.71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14.29</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Q4 FY25</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2,544</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535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82.62</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17.38</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Q1 FY26</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3,101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469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86.86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13.14</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Q2 FY26</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3,184</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513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86.12</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13.88</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Q3 FY26</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3,046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521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85.39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14.61</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Q4 FY26</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2,886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557</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83.82</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16.18</w:t>
            </w:r>
          </w:p>
        </w:tc>
      </w:tr>
      <w:tr>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19"/>
              </w:rPr>
              <w:t>Q1 FY27</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3,426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605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84.99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right"/>
            </w:pPr>
            <w:r>
              <w:rPr>
                <w:b w:val="0"/>
                <w:sz w:val="19"/>
              </w:rPr>
              <w:t>15.01</w:t>
            </w:r>
          </w:p>
        </w:tc>
      </w:tr>
    </w:tbl>
    <w:p/>
    <w:p>
      <w:pPr>
        <w:spacing w:after="100"/>
      </w:pPr>
      <w:r>
        <w:rPr>
          <w:sz w:val="18"/>
        </w:rPr>
        <w:t>Source: company investor presentations, continuing operations. Domestic includes Consumer Healthcare. Older periods use subsequent restated comparatives. BSV is consolidated from 23 October 2024. Shares are calculated from disclosed rounded revenue figures. Q4 FY24, Q3 FY25 and Q4 FY25: Q4 FY25 presentation, printed p5. Q1 FY25: Q1 FY26, p5. Q2 FY25 and Q2 FY26: Q2 FY26, p5. Q3 FY26: Q4 FY26, printed p5. Remaining periods: Q1 FY27, printed p5.</w:t>
      </w:r>
    </w:p>
    <w:p>
      <w:pPr>
        <w:spacing w:after="100"/>
      </w:pPr>
      <w:r>
        <w:rPr>
          <w:sz w:val="18"/>
        </w:rPr>
        <w:t>For the funding exhibit, the rounded INR500 crore commitment equals 14.8% of June 2026 net debt of INR3,377 crore, 27.0% of the FY26 net debt reduction of INR1,852 crore, and 1.28x the annualised Q1 R&amp;D expense of INR392 crore. The INR500 crore figure is a scale illustration rather than a live FX conversion. These comparisons do not represent an earnings charge or a forecast of additional borrowing.</w:t>
      </w:r>
    </w:p>
    <w:p>
      <w:pPr>
        <w:pStyle w:val="Heading1"/>
      </w:pPr>
      <w:r>
        <w:t>SOURCES</w:t>
      </w:r>
    </w:p>
    <w:p>
      <w:pPr>
        <w:spacing w:after="60"/>
      </w:pPr>
      <w:hyperlink r:id="rId9">
        <w:r>
          <w:rPr>
            <w:sz w:val="17"/>
          </w:rPr>
          <w:t>1. Mankind transaction filing, 15 October 2026</w:t>
        </w:r>
      </w:hyperlink>
    </w:p>
    <w:p>
      <w:pPr>
        <w:spacing w:after="60"/>
      </w:pPr>
      <w:hyperlink r:id="rId10">
        <w:r>
          <w:rPr>
            <w:sz w:val="17"/>
          </w:rPr>
          <w:t>2. Lakefront sale of preclinical programmes, 14 October 2026</w:t>
        </w:r>
      </w:hyperlink>
    </w:p>
    <w:p>
      <w:pPr>
        <w:spacing w:after="60"/>
      </w:pPr>
      <w:hyperlink r:id="rId11">
        <w:r>
          <w:rPr>
            <w:sz w:val="17"/>
          </w:rPr>
          <w:t>3. National Cancer Institute CAR-T overview</w:t>
        </w:r>
      </w:hyperlink>
    </w:p>
    <w:p>
      <w:pPr>
        <w:spacing w:after="60"/>
      </w:pPr>
      <w:hyperlink r:id="rId12">
        <w:r>
          <w:rPr>
            <w:sz w:val="17"/>
          </w:rPr>
          <w:t>4. Mankind Q1 FY27 earnings call, reproduced transcript</w:t>
        </w:r>
      </w:hyperlink>
    </w:p>
    <w:p>
      <w:pPr>
        <w:spacing w:after="60"/>
      </w:pPr>
      <w:hyperlink r:id="rId13">
        <w:r>
          <w:rPr>
            <w:sz w:val="17"/>
          </w:rPr>
          <w:t>5. Mankind Q4 FY26 investor presentation</w:t>
        </w:r>
      </w:hyperlink>
    </w:p>
    <w:p>
      <w:pPr>
        <w:spacing w:after="60"/>
      </w:pPr>
      <w:hyperlink r:id="rId14">
        <w:r>
          <w:rPr>
            <w:sz w:val="17"/>
          </w:rPr>
          <w:t>6. Mankind Q1 FY27 investor presentation</w:t>
        </w:r>
      </w:hyperlink>
    </w:p>
    <w:p>
      <w:pPr>
        <w:spacing w:after="60"/>
      </w:pPr>
      <w:hyperlink r:id="rId15">
        <w:r>
          <w:rPr>
            <w:sz w:val="17"/>
          </w:rPr>
          <w:t>7. Mankind corporate history</w:t>
        </w:r>
      </w:hyperlink>
    </w:p>
    <w:p>
      <w:pPr>
        <w:spacing w:after="60"/>
      </w:pPr>
      <w:hyperlink r:id="rId16">
        <w:r>
          <w:rPr>
            <w:sz w:val="17"/>
          </w:rPr>
          <w:t>8. Mankind sintilimab licensing release</w:t>
        </w:r>
      </w:hyperlink>
    </w:p>
    <w:p>
      <w:pPr>
        <w:spacing w:after="60"/>
      </w:pPr>
      <w:hyperlink r:id="rId17">
        <w:r>
          <w:rPr>
            <w:sz w:val="17"/>
          </w:rPr>
          <w:t>9. Express Pharma market summary citing Equirus, 15 October 2026</w:t>
        </w:r>
      </w:hyperlink>
    </w:p>
    <w:sectPr w:rsidR="00FC693F" w:rsidRPr="0006063C" w:rsidSect="00034616">
      <w:footerReference w:type="default" r:id="rId18"/>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searchives.nseindia.com/corporate/MANKIND1_15102026192506_Outcomefinalsd.pdf" TargetMode="External"/><Relationship Id="rId10" Type="http://schemas.openxmlformats.org/officeDocument/2006/relationships/hyperlink" Target="https://lakefrontbio.com/press-releases/lakefront-announces-sale-of-preclinical-car-t-programs-to-armed-cell-therapeutics/" TargetMode="External"/><Relationship Id="rId11" Type="http://schemas.openxmlformats.org/officeDocument/2006/relationships/hyperlink" Target="https://www.cancer.gov/about-cancer/treatment/research/car-t-cells" TargetMode="External"/><Relationship Id="rId12" Type="http://schemas.openxmlformats.org/officeDocument/2006/relationships/hyperlink" Target="https://alphastreet.com/india/mankind-pharma-limited-mankind-q1-2027-earnings-call-transcript/" TargetMode="External"/><Relationship Id="rId13" Type="http://schemas.openxmlformats.org/officeDocument/2006/relationships/hyperlink" Target="https://www.mankindpharma.com/wp-content/uploads/2026/05/Investor_Presentation_Final.pdf" TargetMode="External"/><Relationship Id="rId14" Type="http://schemas.openxmlformats.org/officeDocument/2006/relationships/hyperlink" Target="https://www.mankindpharma.com/wp-content/uploads/2026/07/Investor-Presentation-1.pdf" TargetMode="External"/><Relationship Id="rId15" Type="http://schemas.openxmlformats.org/officeDocument/2006/relationships/hyperlink" Target="https://www.mankindpharma.com/company/heritage/" TargetMode="External"/><Relationship Id="rId16" Type="http://schemas.openxmlformats.org/officeDocument/2006/relationships/hyperlink" Target="https://www.mankindpharma.com/media/press-release/mankind-pharma-and-innovent-biologics-partner-to-revolutionize-cancer-care-in-india-with-innovative-immunotherapy-sintilimab/" TargetMode="External"/><Relationship Id="rId17" Type="http://schemas.openxmlformats.org/officeDocument/2006/relationships/hyperlink" Target="https://www.expresspharma.in/indian-pharmaceutical-market-records-17-1-growth-in-september-equirus-securitie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Mankind Pharma CAR T acquisition</dc:title>
  <dc:subject>Buying a 2030s pipeline while the core still needs repair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