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GSK India Management Meeting Notes</w:t>
      </w:r>
    </w:p>
    <w:p>
      <w:pPr>
        <w:pStyle w:val="Meta"/>
      </w:pPr>
      <w:r>
        <w:rPr>
          <w:b/>
        </w:rPr>
        <w:t>Bernstein meeting with Bhushan Akshikar, Managing Director, and Ronojit Biswas, CFO</w:t>
      </w:r>
    </w:p>
    <w:p>
      <w:pPr>
        <w:pStyle w:val="Meta"/>
      </w:pPr>
      <w:r>
        <w:rPr>
          <w:b/>
        </w:rPr>
        <w:t>Recording:</w:t>
      </w:r>
      <w:r>
        <w:t xml:space="preserve"> 76 minutes | </w:t>
      </w:r>
      <w:r>
        <w:rPr>
          <w:b/>
        </w:rPr>
        <w:t>Date:</w:t>
      </w:r>
      <w:r>
        <w:t xml:space="preserve"> 22 September 2026, subject to confirmation from meeting calendar</w:t>
      </w:r>
    </w:p>
    <w:p>
      <w:pPr>
        <w:pStyle w:val="Meta"/>
      </w:pPr>
      <w:r>
        <w:rPr>
          <w:b/>
        </w:rPr>
        <w:t>Purpose:</w:t>
      </w:r>
      <w:r>
        <w:t xml:space="preserve"> Initiation work on GlaxoSmithKline Pharmaceuticals Limited, the listed India company.</w:t>
      </w:r>
    </w:p>
    <w:p>
      <w:pPr>
        <w:pStyle w:val="Heading1"/>
      </w:pPr>
      <w:r>
        <w:t>The answer in one paragraph</w:t>
      </w:r>
    </w:p>
    <w:p>
      <w:pPr>
        <w:widowControl/>
      </w:pPr>
      <w:r>
        <w:t>Management's plan rests on two engines. General medicines and private pediatric vaccines should keep growing around high single digits to 10%, while Shingrix, respiratory and oncology products take the innovation mix from about 7% of sales today toward the high teens over the next few years. The most useful new point for the model is economic: the global group funds clinical trials, the listed company commercializes the assets in India under transfer pricing, and management expects growth from the new portfolio without diluting its current EBITDA margin. Management also discussed an approximately ₹8,000 crore long-term sales ambition and a directionally ₹1,000 crore or higher oncology opportunity, while explicitly avoiding formal forward guidance. The exact target year and oncology figure need confirmation from the recording or management before they become model anchors. [21:09-23:59; 30:30-34:10; 46:49-49:35; 67:36-71:10]</w:t>
      </w:r>
    </w:p>
    <w:p>
      <w:pPr>
        <w:pStyle w:val="Heading1"/>
      </w:pPr>
      <w:r>
        <w:t>What management said</w:t>
      </w:r>
    </w:p>
    <w:p>
      <w:pPr>
        <w:pStyle w:val="Heading2"/>
      </w:pPr>
      <w:r>
        <w:t>1  Established products remain the base</w:t>
      </w:r>
    </w:p>
    <w:p>
      <w:pPr>
        <w:widowControl/>
      </w:pPr>
      <w:r>
        <w:t>The roughly ₹3,790 crore FY26 listed business is primarily established general medicines and pediatric vaccines. Management expects the combined established portfolio to grow in a high single-digit to roughly 10% range. It attributed FY26 general medicine disruption to a fire at a contract manufacturer, saying Calpol and other products were out of stock for several months and the top-line loss was more than ₹130 crore. Supply has since been restored. This matters when comparing near-term growth with the depressed base. Augmentin, Calpol, Ceftum, T-Bact and dermatology brands remain the principal promoted brands. Management said antibiotic performance is supported by pathogen surveillance data that inform local detailing. [16:05-17:15; 21:46-22:49; 29:21-29:43; 58:18-59:45]</w:t>
      </w:r>
    </w:p>
    <w:p>
      <w:pPr>
        <w:widowControl/>
      </w:pPr>
      <w:r>
        <w:t>Pediatric vaccination remains a private, self-pay franchise. Shingrix is the first adult vaccine the company is using to build an adult immunization channel; management put it above ₹100 crore on a moving annual total basis. Arexvy, the RSV vaccine, has received a positive regulatory recommendation according to management, with launch expected in 2027, possibly early in the following financial year. Treat that launch date as an expectation subject to final authorization and supply. [14:00-15:58; 22:53-23:06]</w:t>
      </w:r>
    </w:p>
    <w:p>
      <w:pPr>
        <w:pStyle w:val="Heading2"/>
      </w:pPr>
      <w:r>
        <w:t>2  Specialty is becoming large enough to change growth</w:t>
      </w:r>
    </w:p>
    <w:p>
      <w:pPr>
        <w:widowControl/>
      </w:pPr>
      <w:r>
        <w:t>The CFO defined the innovation or freshness index as sales from protected new products. It has moved from roughly 3% to 4% a year earlier to about 7% to 7.5% in the recent quarter; he expects a high-teens contribution over the next few years. The public Q1 FY27 presentation reports innovation at 7% of sales, up from 4% a year earlier, and approximately one-quarter of reported growth. Oncology's current annualized level was described as above ₹100 crore, but the audio is insufficiently clear on the measurement period. These are still small bases relative to the long-term sales ambition. [22:53-23:12; 30:30-33:17; 36:43-37:21]</w:t>
      </w:r>
    </w:p>
    <w:p>
      <w:pPr>
        <w:widowControl/>
      </w:pPr>
      <w:r>
        <w:t>Oncology launches discussed: Zejula in ovarian cancer and Jemperli in endometrial cancer; Jemperli's first-line approval was described as received in January 2026. Management discussed additional indications in rectal and colon cancer, with a rectal cancer submission or indication anticipated in approximately the next 12 months. Blenrep has received marketing authorization in relapsed or refractory multiple myeloma, according to management, and is being prepared for launch. Management cited approximately ₹200-300 crore as a possible mature sales scale for Blenrep and pointed to first-line trials as a later expansion path. Ojjaara was also discussed as a near-term launch after a positive regulatory step. The precise status and revenue figures should be confirmed against the label and management materials. [18:20-20:55; 23:12-24:18; 25:37-27:02]</w:t>
      </w:r>
    </w:p>
    <w:p>
      <w:pPr>
        <w:widowControl/>
      </w:pPr>
      <w:r>
        <w:t>In respiratory, management wants to concentrate resources on Trelegy, Nucala and the pipeline biologic depemokimab, with Arexvy relevant to respiratory physicians as an adult vaccine. It did not describe a broad return to the older mass respiratory portfolio. The oncology field team was described as roughly 70 people, illustrating that specialty sales can rise without scaling the field force in proportion to sales. [60:00-62:20; 69:31-70:30]</w:t>
      </w:r>
    </w:p>
    <w:p>
      <w:pPr>
        <w:pStyle w:val="Heading2"/>
      </w:pPr>
      <w:r>
        <w:t>3  India gains pipeline access without funding global discovery</w:t>
      </w:r>
    </w:p>
    <w:p>
      <w:pPr>
        <w:widowControl/>
      </w:pPr>
      <w:r>
        <w:t>Management said around 33 global clinical trials are running in India, many in oncology. The global parent funds those trials; the Bengaluru global capability centre is also outside the listed entity. Indian trial participation supplies local patient data and investigator familiarity and, management argued, shortens the time between global approval and Indian launch. Blenrep was cited as an example of roughly 10 to 11 months from filing to local authorization or from global launch to Indian readiness; the audio is ambiguous on the exact starting event. This can improve launch timing, but it does not mean every globally acquired or developed asset automatically enters the listed company. [08:46-10:20; 18:52-19:18; 46:49-47:42; 64:51-67:10]</w:t>
      </w:r>
    </w:p>
    <w:p>
      <w:pPr>
        <w:widowControl/>
      </w:pPr>
      <w:r>
        <w:t>For the listed company, the economics depend on the import or transfer price, local selling expense and patient access costs. The CFO said the current parent arrangements allow the innovation portfolio to grow without diluting EBITDA margin, but he did not commit to margin expansion. He stressed that oncology requires a smaller field force than general medicines and that global systems and research spending do not sit in the India listed cost base. This is the central profitability claim to test, rather than assuming higher product gross margins flow through one-for-one. [41:41-42:43; 46:49-49:35; 52:05-52:55; 69:31-71:10]</w:t>
      </w:r>
    </w:p>
    <w:p>
      <w:pPr>
        <w:pStyle w:val="Heading2"/>
      </w:pPr>
      <w:r>
        <w:t>4  Management is selective about capital deployment</w:t>
      </w:r>
    </w:p>
    <w:p>
      <w:pPr>
        <w:widowControl/>
      </w:pPr>
      <w:r>
        <w:t>The CEO said GSK is not planning to enter cardiology or diabetes simply because those markets are large. Brand or company acquisitions are considered, but only where the company sees an operating advantage. He cited investments in the Nashik site and product line extensions for established brands. Approximately 20 contract manufacturers support the portfolio. On regulatory data protection and compulsory licensing, management's practical response is faster Indian launches and India-specific pricing; it also noted that a substantial share of the existing portfolio is price-controlled. [08:46-09:20; 49:39-51:56; 53:49-57:59]</w:t>
      </w:r>
    </w:p>
    <w:p>
      <w:pPr>
        <w:pStyle w:val="Heading1"/>
      </w:pPr>
      <w:r>
        <w:t>What this means for our model</w:t>
      </w:r>
    </w:p>
    <w:p>
      <w:pPr>
        <w:widowControl/>
      </w:pPr>
      <w:r>
        <w:rPr>
          <w:b/>
        </w:rPr>
        <w:t>Revenue bridge.</w:t>
      </w:r>
      <w:r>
        <w:t xml:space="preserve"> Use FY26 revenue of ₹3,790 crore as the reported starting point, not the rounded ₹4,000 crore cited in discussion. Split it into established medicines and vaccines versus innovation. The Q1 FY27 disclosed 7% innovation contribution gives the first public mix observation; management's high-teens mix is an ambition without a fixed year. Build product-level adoption separately for Shingrix, Arexvy, Trelegy, Nucala, Jemperli, Zejula, Blenrep and Ojjaara. A launch or label extension should contribute only after the expected approval date and an adoption ramp. [21:09-23:59; 30:30-33:17]</w:t>
      </w:r>
    </w:p>
    <w:p>
      <w:pPr>
        <w:widowControl/>
      </w:pPr>
      <w:r>
        <w:rPr>
          <w:b/>
        </w:rPr>
        <w:t>Scale test.</w:t>
      </w:r>
      <w:r>
        <w:t xml:space="preserve"> As an illustrative check, if FY26 revenue of ₹3,790 crore contains 3% innovation, the established base is about ₹3,676 crore. At 9% annual growth for six years, it reaches about ₹6,170 crore. To reach ₹8,000 crore in that six-year case, new products must contribute about ₹1,830 crore, or 23% of total sales. This is analyst arithmetic, not company guidance. A five-year target or lower established growth increases the required specialty contribution. The gap is why the launch schedule and each oncology indication matter more than the headline target. [21:09-23:59; 67:36-69:20]</w:t>
      </w:r>
    </w:p>
    <w:p>
      <w:pPr>
        <w:widowControl/>
      </w:pPr>
      <w:r>
        <w:rPr>
          <w:b/>
        </w:rPr>
        <w:t>Margin bridge.</w:t>
      </w:r>
      <w:r>
        <w:t xml:space="preserve"> Hold the current margin broadly flat in the base case pending product gross-margin and selling-cost evidence. Model higher specialty gross profit against the imported transfer price, access schemes, medical affairs, launch marketing and sales force. The CFO's statement supports a no-dilution case; it does not support an automatic step-up in EBITDA margin. Exclude group-funded trials and the Bengaluru centre from the listed entity's R&amp;D and overhead unless a specific recharge appears in its accounts. [41:41-42:43; 46:49-49:35; 69:31-71:10]</w:t>
      </w:r>
    </w:p>
    <w:p>
      <w:pPr>
        <w:pStyle w:val="Heading1"/>
      </w:pPr>
      <w:r>
        <w:t>Points to verify before a client note</w:t>
      </w:r>
    </w:p>
    <w:p>
      <w:pPr>
        <w:pStyle w:val="ListNumber"/>
      </w:pPr>
      <w:r>
        <w:rPr>
          <w:b/>
        </w:rPr>
        <w:t>₹8,000 crore horizon:</w:t>
      </w:r>
      <w:r>
        <w:t xml:space="preserve"> management discussed a five- to six-year ambition and roughly 13% annual growth; the recording does not unambiguously establish a terminal fiscal year. Confirm whether the figure is an internal aspiration or published guidance. [21:09-21:43; 67:36-68:29]</w:t>
      </w:r>
    </w:p>
    <w:p>
      <w:pPr>
        <w:pStyle w:val="ListNumber"/>
      </w:pPr>
      <w:r>
        <w:rPr>
          <w:b/>
        </w:rPr>
        <w:t>Oncology scale:</w:t>
      </w:r>
      <w:r>
        <w:t xml:space="preserve"> the audio appears to indicate current sales above ₹100 crore and a long-term opportunity around ₹1,000 crore or more. Confirm annualized versus trailing sales, the terminal year and which products and indications are included. [23:00-23:12; 67:36-69:20]</w:t>
      </w:r>
    </w:p>
    <w:p>
      <w:pPr>
        <w:pStyle w:val="ListNumber"/>
      </w:pPr>
      <w:r>
        <w:rPr>
          <w:b/>
        </w:rPr>
        <w:t>Blenrep:</w:t>
      </w:r>
      <w:r>
        <w:t xml:space="preserve"> confirm Indian approval wording and approved line of therapy; management's roughly ₹200-300 crore figure appears to describe mature annual revenue, not launch-year sales. [18:32-18:59; 23:12-24:18]</w:t>
      </w:r>
    </w:p>
    <w:p>
      <w:pPr>
        <w:pStyle w:val="ListNumber"/>
      </w:pPr>
      <w:r>
        <w:rPr>
          <w:b/>
        </w:rPr>
        <w:t>Arexvy and Ojjaara:</w:t>
      </w:r>
      <w:r>
        <w:t xml:space="preserve"> verify final regulatory status, first sale timing, supply and the exact entity booking sales. [14:34-15:05; 19:18-19:41]</w:t>
      </w:r>
    </w:p>
    <w:p>
      <w:pPr>
        <w:pStyle w:val="ListNumber"/>
      </w:pPr>
      <w:r>
        <w:rPr>
          <w:b/>
        </w:rPr>
        <w:t>Transfer pricing:</w:t>
      </w:r>
      <w:r>
        <w:t xml:space="preserve"> obtain historical gross margins by existing versus innovation portfolio if possible, imported cost and patient-assistance expense treatment. This determines whether the no-dilution claim survives a rapid oncology mix shift. [46:49-49:35]</w:t>
      </w:r>
    </w:p>
    <w:p>
      <w:pPr>
        <w:pStyle w:val="ListNumber"/>
      </w:pPr>
      <w:r>
        <w:rPr>
          <w:b/>
        </w:rPr>
        <w:t>Other group assets:</w:t>
      </w:r>
      <w:r>
        <w:t xml:space="preserve"> ask how the India listed board decides whether newly acquired global products enter the listed company, and whether any clinical or commercial costs are recharged. [26:57-27:18; 46:49-47:42]</w:t>
      </w:r>
    </w:p>
    <w:p>
      <w:pPr>
        <w:widowControl/>
      </w:pPr>
      <w:r>
        <w:rPr>
          <w:b/>
        </w:rPr>
        <w:t>Source:</w:t>
      </w:r>
      <w:r>
        <w:t xml:space="preserve"> Supplied recording; timestamps refer to it. Public figures cross-checked with GSK India's Q1 FY27 analyst materials. The separate transcript is an automated draft.</w:t>
      </w:r>
    </w:p>
    <w:sectPr w:rsidR="00FC693F" w:rsidRPr="0006063C" w:rsidSect="00034616">
      <w:headerReference w:type="default" r:id="rId9"/>
      <w:footerReference w:type="default" r:id="rId10"/>
      <w:pgSz w:w="12240" w:h="15840"/>
      <w:pgMar w:top="1037"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jc w:val="right"/>
    </w:pPr>
    <w:r>
      <w:t xml:space="preserve">Bernstein working notes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spacing w:after="0"/>
      <w:jc w:val="right"/>
    </w:pPr>
    <w:r>
      <w:t>GSK INDIA  |  MANAGEMENT MEETING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14141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ptos" w:hAnsi="Aptos"/>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ptos Display" w:hAnsi="Aptos Display"/>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basedOn w:val="Normal"/>
    <w:pPr>
      <w:spacing w:after="60"/>
    </w:pPr>
    <w:rPr>
      <w:color w:val="505050"/>
      <w:sz w:val="18"/>
    </w:rPr>
  </w:style>
  <w:style w:type="paragraph" w:customStyle="1" w:styleId="Source">
    <w:name w:val="Source"/>
    <w:basedOn w:val="Normal"/>
    <w:pPr>
      <w:spacing w:before="180"/>
    </w:pPr>
    <w:rPr>
      <w:color w:val="46464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