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ighlights"/>
    <w:p>
      <w:pPr>
        <w:pStyle w:val="Heading2"/>
      </w:pPr>
      <w:r>
        <w:t xml:space="preserve">Highlights</w:t>
      </w:r>
    </w:p>
    <w:p>
      <w:pPr>
        <w:pStyle w:val="FirstParagraph"/>
      </w:pPr>
      <w:r>
        <w:t xml:space="preserve">Prostate cancer is one of the largest US oncology markets, with 333,830 new cases and 36,320 deaths expected in 2026, and 3.7mn men already living with the disease. Incidence has risen 2.7% annually over 2014 to 2023, while advanced disease remains commercially important because treatment is chronic and systemic. Xtandi, Nubeqa and Erleada are the key oral androgen receptor pathway inhibitors. All three suppress androgen receptor signalling, but Nubeqa is differentiated by lower blood-brain barrier penetration and a cleaner CNS tolerability profile. In simple terms, this is similar to cetirizine versus a less-sedating antihistamine such as desloratadine: both treat the same broad problem, but the drug with lower central nervous system exposure is preferred where sleepiness, cognition and tolerability matter.</w:t>
      </w:r>
    </w:p>
    <w:p>
      <w:pPr>
        <w:pStyle w:val="BodyText"/>
      </w:pPr>
      <w:r>
        <w:t xml:space="preserve">Xtandi is the key near-term LOE asset, with US substance patent expiry in August 2027. The visible generic queue already includes Sandoz, Zydus, Actavis, Eugia and Humanwell PuraCap across tablet and capsule formulations. Zydus has tentative USFDA approval for enzalutamide tablets 40mg and 80mg, manufactured at its SEZ Ahmedabad facility, and has disclosed US tablet market sales of $1.417bn on IQVIA MAT July 2024. We treat Zydus as an early-wave tablet generic entrant, but not a sole first-filer monopoly. Assuming 30% generic pricing versus the innovator, a late-CY27 or early-CY28 launch, and multi-entrant share assumptions, we estimate Zydus can generate approximately $55mn to $75mn of first full-year sales and approximately $50mn to $72mn in year two.</w:t>
      </w:r>
    </w:p>
    <w:p>
      <w:pPr>
        <w:pStyle w:val="BodyText"/>
      </w:pPr>
      <w:r>
        <w:t xml:space="preserve">The less obvious read-through is to Indian CDMO and specialty-chemistry companies linked to Nubeqa. Generic Xtandi will pressure enzalutamide pricing, but we do not expect automatic substitution away from Nubeqa because darolutamide retains a differentiated role in elderly patients where CNS exposure, fatigue, falls, cognition, seizure risk and polypharmacy influence prescribing. This makes Acutaas Chemicals and Navin Fluorine relevant dark-horse beneficiaries. Both are linked to the darolutamide/Nubeqa manufacturing chain through advanced-intermediate and complex chemistry supply into the Bayer, Orion and Fermion ecosystem. The investment conclusion is two-layered: Zydus is the direct generic Xtandi beneficiary, while Acutaas and Navin are Nubeqa-linked CDMO beneficiaries if Nubeqa’s tolerability advantage protects its volume base.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2026-06-22T12:58:04Z</dcterms:created>
  <dcterms:modified xsi:type="dcterms:W3CDTF">2026-06-22T12:58:04Z</dcterms:modified>
</cp:coreProperties>
</file>

<file path=docProps/custom.xml><?xml version="1.0" encoding="utf-8"?>
<Properties xmlns="http://schemas.openxmlformats.org/officeDocument/2006/custom-properties" xmlns:vt="http://schemas.openxmlformats.org/officeDocument/2006/docPropsVTypes"/>
</file>