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00000"/>
          <w:sz w:val="28"/>
        </w:rPr>
        <w:t>Women's Health Exhibit Captions</w:t>
      </w:r>
    </w:p>
    <w:p>
      <w:pPr>
        <w:spacing w:after="160"/>
      </w:pPr>
      <w:r>
        <w:rPr>
          <w:rFonts w:ascii="Arial" w:hAnsi="Arial"/>
          <w:color w:val="5A5A5A"/>
          <w:sz w:val="18"/>
        </w:rPr>
        <w:t>Use these under the four product images in the note.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656"/>
            <w:shd w:fill="D9EAF7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Company</w:t>
            </w:r>
          </w:p>
        </w:tc>
        <w:tc>
          <w:tcPr>
            <w:tcW w:type="dxa" w:w="3024"/>
            <w:shd w:fill="D9EAF7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Product image</w:t>
            </w:r>
          </w:p>
        </w:tc>
        <w:tc>
          <w:tcPr>
            <w:tcW w:type="dxa" w:w="6552"/>
            <w:shd w:fill="D9EAF7"/>
            <w:tcBorders>
              <w:top w:val="single" w:sz="8" w:color="A6A6A6"/>
              <w:left w:val="single" w:sz="8" w:color="A6A6A6"/>
              <w:bottom w:val="single" w:sz="8" w:color="A6A6A6"/>
              <w:right w:val="single" w:sz="8" w:color="A6A6A6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Caption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Organon</w:t>
            </w:r>
          </w:p>
        </w:tc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Nexplanon by Organon</w:t>
            </w:r>
          </w:p>
        </w:tc>
        <w:tc>
          <w:tcPr>
            <w:tcW w:type="dxa" w:w="65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 scaled women’s health franchise, with contraception and ART-linked fertility drugs inside the prescription channel.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Abbott</w:t>
            </w:r>
          </w:p>
        </w:tc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Duphaston by Abbott</w:t>
            </w:r>
          </w:p>
        </w:tc>
        <w:tc>
          <w:tcPr>
            <w:tcW w:type="dxa" w:w="65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Progesterone support keeps Abbott tied to the fertility pathway through gynaecologist-led prescribing.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AbbVie</w:t>
            </w:r>
          </w:p>
        </w:tc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Orilissa by AbbVie</w:t>
            </w:r>
          </w:p>
        </w:tc>
        <w:tc>
          <w:tcPr>
            <w:tcW w:type="dxa" w:w="65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Endometriosis treatment shows the medical depth behind infertility, but not a large standalone equity exposure.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Takeda</w:t>
            </w:r>
          </w:p>
        </w:tc>
        <w:tc>
          <w:tcPr>
            <w:tcW w:type="dxa" w:w="3024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Relugolix / Relumina by Takeda</w:t>
            </w:r>
          </w:p>
        </w:tc>
        <w:tc>
          <w:tcPr>
            <w:tcW w:type="dxa" w:w="6552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Fibroids and endometriosis link Takeda to reproductive health, but women’s health remains an adjacency, not the platform.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sz w:val="22"/>
        </w:rPr>
        <w:t>Copy-paste version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Nexplanon by Organon: </w:t>
      </w:r>
      <w:r>
        <w:rPr>
          <w:rFonts w:ascii="Arial" w:hAnsi="Arial"/>
          <w:sz w:val="20"/>
        </w:rPr>
        <w:t>A scaled women’s health franchise, with contraception and ART-linked fertility drugs inside the prescription channel.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Duphaston by Abbott: </w:t>
      </w:r>
      <w:r>
        <w:rPr>
          <w:rFonts w:ascii="Arial" w:hAnsi="Arial"/>
          <w:sz w:val="20"/>
        </w:rPr>
        <w:t>Progesterone support keeps Abbott tied to the fertility pathway through gynaecologist-led prescribing.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Orilissa by AbbVie: </w:t>
      </w:r>
      <w:r>
        <w:rPr>
          <w:rFonts w:ascii="Arial" w:hAnsi="Arial"/>
          <w:sz w:val="20"/>
        </w:rPr>
        <w:t>Endometriosis treatment shows the medical depth behind infertility, but not a large standalone equity exposure.</w:t>
      </w:r>
    </w:p>
    <w:p>
      <w:pPr>
        <w:spacing w:after="40"/>
      </w:pPr>
      <w:r>
        <w:rPr>
          <w:rFonts w:ascii="Arial" w:hAnsi="Arial"/>
          <w:b/>
          <w:sz w:val="20"/>
        </w:rPr>
        <w:t xml:space="preserve">Relugolix / Relumina by Takeda: </w:t>
      </w:r>
      <w:r>
        <w:rPr>
          <w:rFonts w:ascii="Arial" w:hAnsi="Arial"/>
          <w:sz w:val="20"/>
        </w:rPr>
        <w:t>Fibroids and endometriosis link Takeda to reproductive health, but women’s health remains an adjacency, not the platform.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