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21B1" w:rsidRDefault="00080088">
      <w:r>
        <w:t xml:space="preserve">Ustekinumab gained initial share through aggressive pricing, with Biocon’s net selling price already around 40% below leading peers. The exhibit suggests this discount helped support the early prescription ramp, but Biocon now has limited room to cut price further. </w:t>
      </w:r>
      <w:proofErr w:type="spellStart"/>
      <w:r>
        <w:t>Celltrion</w:t>
      </w:r>
      <w:proofErr w:type="spellEnd"/>
      <w:r>
        <w:t xml:space="preserve">, with greater backward integration and a stronger cost position, retains more pricing flexibility. We therefore expect Biocon’s </w:t>
      </w:r>
      <w:proofErr w:type="spellStart"/>
      <w:r>
        <w:t>ustekinumab</w:t>
      </w:r>
      <w:proofErr w:type="spellEnd"/>
      <w:r>
        <w:t xml:space="preserve"> growth to slow as the benefit from initial discounting fades, and continue to estimate mature revenue of only $120–130 million rather than the roughly $200 million needed to materially change Biocon’s earnings trajectory.</w:t>
      </w:r>
    </w:p>
    <w:sectPr w:rsidR="00542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35"/>
    <w:rsid w:val="00080088"/>
    <w:rsid w:val="005421B1"/>
    <w:rsid w:val="007B788F"/>
    <w:rsid w:val="0098646A"/>
    <w:rsid w:val="00E7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99D9B"/>
  <w15:chartTrackingRefBased/>
  <w15:docId w15:val="{8B02589B-7B68-8945-BA93-0A3D5F52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143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7143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43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143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14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1435"/>
    <w:rPr>
      <w:b/>
      <w:bCs/>
    </w:rPr>
  </w:style>
  <w:style w:type="paragraph" w:customStyle="1" w:styleId="pdq2pgselectionanchorcontainer">
    <w:name w:val="pdq2pg_selectionanchorcontainer"/>
    <w:basedOn w:val="Normal"/>
    <w:rsid w:val="005421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3</cp:revision>
  <dcterms:created xsi:type="dcterms:W3CDTF">2026-07-14T06:08:00Z</dcterms:created>
  <dcterms:modified xsi:type="dcterms:W3CDTF">2026-07-14T07:34:00Z</dcterms:modified>
</cp:coreProperties>
</file>