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788F" w:rsidRDefault="00026C97">
      <w:r>
        <w:t xml:space="preserve">The simple reason we give it a reasonable chance is that </w:t>
      </w:r>
      <w:proofErr w:type="spellStart"/>
      <w:r>
        <w:t>Nubeqa</w:t>
      </w:r>
      <w:proofErr w:type="spellEnd"/>
      <w:r>
        <w:t xml:space="preserve"> is being tested with a better setup: more selected patients, more modern imaging such as PSMA PET, and disease settings where ARPI biology is already validated. Xtandi’s earlier-stage failures were mainly in harder localized-disease settings where event rates are low and proving incremental benefit is difficult. </w:t>
      </w:r>
      <w:proofErr w:type="spellStart"/>
      <w:r>
        <w:t>Nubeqa</w:t>
      </w:r>
      <w:proofErr w:type="spellEnd"/>
      <w:r>
        <w:t xml:space="preserve"> also has a cleaner CNS tolerability profile, so doctors may be more comfortable using it earlier and for longer.</w:t>
      </w:r>
    </w:p>
    <w:sectPr w:rsidR="007B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97"/>
    <w:rsid w:val="00026C97"/>
    <w:rsid w:val="007B788F"/>
    <w:rsid w:val="0098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B126AC8-D041-2044-9EB7-EFFB3BA1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1</cp:revision>
  <dcterms:created xsi:type="dcterms:W3CDTF">2026-06-23T05:17:00Z</dcterms:created>
  <dcterms:modified xsi:type="dcterms:W3CDTF">2026-06-23T05:18:00Z</dcterms:modified>
</cp:coreProperties>
</file>