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1435" w:rsidRPr="00E71435" w:rsidRDefault="00E71435" w:rsidP="00E7143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71435">
        <w:rPr>
          <w:rFonts w:ascii="Times New Roman" w:eastAsia="Times New Roman" w:hAnsi="Times New Roman" w:cs="Times New Roman"/>
          <w:b/>
          <w:bCs/>
          <w:kern w:val="36"/>
          <w:sz w:val="48"/>
          <w:szCs w:val="48"/>
          <w14:ligatures w14:val="none"/>
        </w:rPr>
        <w:t>Quick Take: Mylan Heads for Exit; Biocon’s Earnings, Leverage and Execution Gaps Remain</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b/>
          <w:bCs/>
          <w:kern w:val="0"/>
          <w14:ligatures w14:val="none"/>
        </w:rPr>
        <w:t>Rating: Underperform | Price target: ₹326</w:t>
      </w:r>
    </w:p>
    <w:p w:rsidR="00E71435" w:rsidRPr="00E71435" w:rsidRDefault="00E71435" w:rsidP="00E7143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71435">
        <w:rPr>
          <w:rFonts w:ascii="Times New Roman" w:eastAsia="Times New Roman" w:hAnsi="Times New Roman" w:cs="Times New Roman"/>
          <w:b/>
          <w:bCs/>
          <w:kern w:val="0"/>
          <w:sz w:val="36"/>
          <w:szCs w:val="36"/>
          <w14:ligatures w14:val="none"/>
        </w:rPr>
        <w:t>Highlights</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t xml:space="preserve">Mylan has launched a secondary block deal to sell up to 92.0 million Biocon shares, equal to its entire 5.64% holding, at a floor price of ₹378.50 per share. The offer implies a maximum value of about ₹34.81 billion, or $363 million, and a 7.9% discount to Biocon’s 13 July close of ₹410.95. Mylan is monetising its full holding shortly after the six-month lock-up expired. The clean-out may remove a technical supply overhang, but the proceeds go to Mylan and provide no capital to Biocon. It also leaves operating earnings, leverage and US commercial execution unchanged. We remain cautious for three reasons: </w:t>
      </w:r>
      <w:r w:rsidRPr="00E71435">
        <w:rPr>
          <w:rFonts w:ascii="Times New Roman" w:eastAsia="Times New Roman" w:hAnsi="Times New Roman" w:cs="Times New Roman"/>
          <w:b/>
          <w:bCs/>
          <w:kern w:val="0"/>
          <w14:ligatures w14:val="none"/>
        </w:rPr>
        <w:t>(1)</w:t>
      </w:r>
      <w:r w:rsidRPr="00E71435">
        <w:rPr>
          <w:rFonts w:ascii="Times New Roman" w:eastAsia="Times New Roman" w:hAnsi="Times New Roman" w:cs="Times New Roman"/>
          <w:kern w:val="0"/>
          <w14:ligatures w14:val="none"/>
        </w:rPr>
        <w:t xml:space="preserve"> the current roughly $1.2 billion biosimilars portfolio is unlikely, in our view, to reach the minimum $2 billion scale needed within four years to support current earnings and valuation expectations; </w:t>
      </w:r>
      <w:r w:rsidRPr="00E71435">
        <w:rPr>
          <w:rFonts w:ascii="Times New Roman" w:eastAsia="Times New Roman" w:hAnsi="Times New Roman" w:cs="Times New Roman"/>
          <w:b/>
          <w:bCs/>
          <w:kern w:val="0"/>
          <w14:ligatures w14:val="none"/>
        </w:rPr>
        <w:t>(2)</w:t>
      </w:r>
      <w:r w:rsidRPr="00E71435">
        <w:rPr>
          <w:rFonts w:ascii="Times New Roman" w:eastAsia="Times New Roman" w:hAnsi="Times New Roman" w:cs="Times New Roman"/>
          <w:kern w:val="0"/>
          <w14:ligatures w14:val="none"/>
        </w:rPr>
        <w:t xml:space="preserve"> insulin and Syngene are unlikely to close the resulting earnings gap; and </w:t>
      </w:r>
      <w:r w:rsidRPr="00E71435">
        <w:rPr>
          <w:rFonts w:ascii="Times New Roman" w:eastAsia="Times New Roman" w:hAnsi="Times New Roman" w:cs="Times New Roman"/>
          <w:b/>
          <w:bCs/>
          <w:kern w:val="0"/>
          <w14:ligatures w14:val="none"/>
        </w:rPr>
        <w:t>(3)</w:t>
      </w:r>
      <w:r w:rsidRPr="00E71435">
        <w:rPr>
          <w:rFonts w:ascii="Times New Roman" w:eastAsia="Times New Roman" w:hAnsi="Times New Roman" w:cs="Times New Roman"/>
          <w:kern w:val="0"/>
          <w14:ligatures w14:val="none"/>
        </w:rPr>
        <w:t xml:space="preserve"> Mylan’s immediate exit limits the positive strategic read-through from receiving Biocon equity in the earlier share-swap. We retain </w:t>
      </w:r>
      <w:r w:rsidRPr="00E71435">
        <w:rPr>
          <w:rFonts w:ascii="Times New Roman" w:eastAsia="Times New Roman" w:hAnsi="Times New Roman" w:cs="Times New Roman"/>
          <w:b/>
          <w:bCs/>
          <w:kern w:val="0"/>
          <w14:ligatures w14:val="none"/>
        </w:rPr>
        <w:t>Underperform</w:t>
      </w:r>
      <w:r w:rsidRPr="00E71435">
        <w:rPr>
          <w:rFonts w:ascii="Times New Roman" w:eastAsia="Times New Roman" w:hAnsi="Times New Roman" w:cs="Times New Roman"/>
          <w:kern w:val="0"/>
          <w14:ligatures w14:val="none"/>
        </w:rPr>
        <w:t xml:space="preserve"> and our </w:t>
      </w:r>
      <w:r w:rsidRPr="00E71435">
        <w:rPr>
          <w:rFonts w:ascii="Times New Roman" w:eastAsia="Times New Roman" w:hAnsi="Times New Roman" w:cs="Times New Roman"/>
          <w:b/>
          <w:bCs/>
          <w:kern w:val="0"/>
          <w14:ligatures w14:val="none"/>
        </w:rPr>
        <w:t>₹326 price target</w:t>
      </w:r>
      <w:r w:rsidRPr="00E71435">
        <w:rPr>
          <w:rFonts w:ascii="Times New Roman" w:eastAsia="Times New Roman" w:hAnsi="Times New Roman" w:cs="Times New Roman"/>
          <w:kern w:val="0"/>
          <w14:ligatures w14:val="none"/>
        </w:rPr>
        <w:t>. The current valuation still requires a materially faster earnings ramp than we forecast.</w:t>
      </w:r>
    </w:p>
    <w:p w:rsidR="00E71435" w:rsidRPr="00E71435" w:rsidRDefault="00E71435" w:rsidP="00E7143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71435">
        <w:rPr>
          <w:rFonts w:ascii="Times New Roman" w:eastAsia="Times New Roman" w:hAnsi="Times New Roman" w:cs="Times New Roman"/>
          <w:b/>
          <w:bCs/>
          <w:kern w:val="0"/>
          <w:sz w:val="36"/>
          <w:szCs w:val="36"/>
          <w14:ligatures w14:val="none"/>
        </w:rPr>
        <w:t>What happened</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t xml:space="preserve">Biocon Biologics acquired Viatris’ global biosimilars business in November 2022 for consideration of up to $3.335 billion. Viatris received $2 billion in cash, $1 billion of preferred equity in Biocon Biologics and rights to up to $335 million of additional payments. In December 2025, Biocon agreed to consolidate Biocon Biologics and acquire Mylan’s residual stake for $815 million: $400 million in cash and $415 million in newly issued Biocon shares. Biocon issued 91.97 million shares to Mylan on 5 January at the ₹405.78 transaction reference price. The shares carried a six-month lock-up. </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t xml:space="preserve">Biocon separately raised ₹41.50 billion through a QIP held from 12–14 January, issuing 112.66 million shares at ₹368.35. The issue diluted existing shareholders and primarily funded the Mylan cash payment and repayment of related debt. The July block deal is different. It is a transfer between investors, and Biocon receives no proceeds. At our 14 July research cut-off, the transaction had been launched, but we had not identified an official filing confirming that the entire sale had settled. </w:t>
      </w:r>
    </w:p>
    <w:p w:rsidR="00E71435" w:rsidRPr="00E71435" w:rsidRDefault="00E71435" w:rsidP="00E7143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71435">
        <w:rPr>
          <w:rFonts w:ascii="Times New Roman" w:eastAsia="Times New Roman" w:hAnsi="Times New Roman" w:cs="Times New Roman"/>
          <w:b/>
          <w:bCs/>
          <w:kern w:val="0"/>
          <w:sz w:val="36"/>
          <w:szCs w:val="36"/>
          <w14:ligatures w14:val="none"/>
        </w:rPr>
        <w:t>A $2 billion biosimilars business still looks distant</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lastRenderedPageBreak/>
        <w:t>FY26 biosimilars revenue was ₹104.3 billion, broadly $1.2 billion, while group net debt remained around $1.1–1.2 billion. We estimate Biocon needs at least $2 billion of biosimilars revenue to generate enough operating profit to absorb financing costs, accelerate deleveraging and support the earnings expectations embedded in the share price. This is our estimated valuation threshold, not company guidance. Below this scale, EPS growth and debt reduction are likely to remain slower than the market expects.</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t xml:space="preserve">The US market is expanding, but Biocon has captured a limited share of that growth. </w:t>
      </w:r>
      <w:r w:rsidRPr="00E71435">
        <w:rPr>
          <w:rFonts w:ascii="Times New Roman" w:eastAsia="Times New Roman" w:hAnsi="Times New Roman" w:cs="Times New Roman"/>
          <w:b/>
          <w:bCs/>
          <w:kern w:val="0"/>
          <w14:ligatures w14:val="none"/>
        </w:rPr>
        <w:t>Exhibit 1</w:t>
      </w:r>
      <w:r w:rsidRPr="00E71435">
        <w:rPr>
          <w:rFonts w:ascii="Times New Roman" w:eastAsia="Times New Roman" w:hAnsi="Times New Roman" w:cs="Times New Roman"/>
          <w:kern w:val="0"/>
          <w14:ligatures w14:val="none"/>
        </w:rPr>
        <w:t xml:space="preserve"> shows Biocon’s relative share remaining in high single digits and ending near 6%, while Amgen increased from the mid-20s to the mid-30s. </w:t>
      </w:r>
      <w:r w:rsidRPr="00E71435">
        <w:rPr>
          <w:rFonts w:ascii="Times New Roman" w:eastAsia="Times New Roman" w:hAnsi="Times New Roman" w:cs="Times New Roman"/>
          <w:b/>
          <w:bCs/>
          <w:kern w:val="0"/>
          <w14:ligatures w14:val="none"/>
        </w:rPr>
        <w:t>Exhibit 2</w:t>
      </w:r>
      <w:r w:rsidRPr="00E71435">
        <w:rPr>
          <w:rFonts w:ascii="Times New Roman" w:eastAsia="Times New Roman" w:hAnsi="Times New Roman" w:cs="Times New Roman"/>
          <w:kern w:val="0"/>
          <w14:ligatures w14:val="none"/>
        </w:rPr>
        <w:t xml:space="preserve"> shows combined sales for the leading players rising from about $1.7 billion to $2.6 billion, with Biocon accounting for only a small part of the increase. Biocon has often reached development and approval milestones early, yet this has not translated into a stronger commercial position. The market opportunity is not the constraint. Conversion of approvals into prescriptions, share and revenue remains the weaker link.</w:t>
      </w:r>
    </w:p>
    <w:p w:rsidR="00E71435" w:rsidRPr="00E71435" w:rsidRDefault="00E71435" w:rsidP="00E7143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71435">
        <w:rPr>
          <w:rFonts w:ascii="Times New Roman" w:eastAsia="Times New Roman" w:hAnsi="Times New Roman" w:cs="Times New Roman"/>
          <w:b/>
          <w:bCs/>
          <w:kern w:val="0"/>
          <w:sz w:val="36"/>
          <w:szCs w:val="36"/>
          <w14:ligatures w14:val="none"/>
        </w:rPr>
        <w:t>New products are unlikely to bridge the gap</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t xml:space="preserve">Ustekinumab is growing after its February 2025 US launch, but its prescription and market-share progression does not support a $200 million product in our model. We estimate mature revenue of </w:t>
      </w:r>
      <w:r w:rsidRPr="00E71435">
        <w:rPr>
          <w:rFonts w:ascii="Times New Roman" w:eastAsia="Times New Roman" w:hAnsi="Times New Roman" w:cs="Times New Roman"/>
          <w:b/>
          <w:bCs/>
          <w:kern w:val="0"/>
          <w14:ligatures w14:val="none"/>
        </w:rPr>
        <w:t>$120–130 million</w:t>
      </w:r>
      <w:r w:rsidRPr="00E71435">
        <w:rPr>
          <w:rFonts w:ascii="Times New Roman" w:eastAsia="Times New Roman" w:hAnsi="Times New Roman" w:cs="Times New Roman"/>
          <w:kern w:val="0"/>
          <w14:ligatures w14:val="none"/>
        </w:rPr>
        <w:t>. At that level, the product adds useful growth but falls short of the contribution required to change Biocon’s earnings trajectory.</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t>Denosumab entered the US market in April 2026. The first three months have not produced a material revenue contribution, although the launch remains too recent for a definitive judgment. The early trajectory does not yet support the rapid ramp required by aggressive expectations. Our concern is that Biocon’s commercial platform may again take longer to convert an attractive product into meaningful market penetration.</w:t>
      </w:r>
    </w:p>
    <w:p w:rsidR="00E71435" w:rsidRPr="00E71435" w:rsidRDefault="00E71435" w:rsidP="00E7143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71435">
        <w:rPr>
          <w:rFonts w:ascii="Times New Roman" w:eastAsia="Times New Roman" w:hAnsi="Times New Roman" w:cs="Times New Roman"/>
          <w:b/>
          <w:bCs/>
          <w:kern w:val="0"/>
          <w:sz w:val="36"/>
          <w:szCs w:val="36"/>
          <w14:ligatures w14:val="none"/>
        </w:rPr>
        <w:t>Past launches show the same commercial problem</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t xml:space="preserve">Adalimumab shows that price alone does not secure a durable ramp. </w:t>
      </w:r>
      <w:r w:rsidRPr="00E71435">
        <w:rPr>
          <w:rFonts w:ascii="Times New Roman" w:eastAsia="Times New Roman" w:hAnsi="Times New Roman" w:cs="Times New Roman"/>
          <w:b/>
          <w:bCs/>
          <w:kern w:val="0"/>
          <w14:ligatures w14:val="none"/>
        </w:rPr>
        <w:t>Exhibit 3</w:t>
      </w:r>
      <w:r w:rsidRPr="00E71435">
        <w:rPr>
          <w:rFonts w:ascii="Times New Roman" w:eastAsia="Times New Roman" w:hAnsi="Times New Roman" w:cs="Times New Roman"/>
          <w:kern w:val="0"/>
          <w14:ligatures w14:val="none"/>
        </w:rPr>
        <w:t xml:space="preserve"> indicates Biocon entered at an ASP around 40% below leading peers, which initially supported some prescription traction. Prescriptions subsequently remained well below the market leaders. Formulary access, contracting and channel relationships therefore mattered as much as the discount, limiting revenue despite a competitive price. Biocon launched Hulio in the US in July 2023, and the company itself acknowledged that broader market adoption was slower than expected. </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t xml:space="preserve">Trastuzumab provides a longer record. Biocon and Mylan’s Ogivri was the first trastuzumab biosimilar approved in the US, yet </w:t>
      </w:r>
      <w:r w:rsidRPr="00E71435">
        <w:rPr>
          <w:rFonts w:ascii="Times New Roman" w:eastAsia="Times New Roman" w:hAnsi="Times New Roman" w:cs="Times New Roman"/>
          <w:b/>
          <w:bCs/>
          <w:kern w:val="0"/>
          <w14:ligatures w14:val="none"/>
        </w:rPr>
        <w:t>Exhibit 4</w:t>
      </w:r>
      <w:r w:rsidRPr="00E71435">
        <w:rPr>
          <w:rFonts w:ascii="Times New Roman" w:eastAsia="Times New Roman" w:hAnsi="Times New Roman" w:cs="Times New Roman"/>
          <w:kern w:val="0"/>
          <w14:ligatures w14:val="none"/>
        </w:rPr>
        <w:t xml:space="preserve"> shows that early approval did not produce a sustained commercial lead. Amgen generated materially higher and more durable prescription volumes, while Biocon remained a smaller player. Biocon has repeatedly shown that it can develop and secure approval for high-quality products. The evidence points to weaker US commercial execution relative to leading peers.</w:t>
      </w:r>
    </w:p>
    <w:p w:rsidR="00E71435" w:rsidRPr="00E71435" w:rsidRDefault="00E71435" w:rsidP="00E7143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71435">
        <w:rPr>
          <w:rFonts w:ascii="Times New Roman" w:eastAsia="Times New Roman" w:hAnsi="Times New Roman" w:cs="Times New Roman"/>
          <w:b/>
          <w:bCs/>
          <w:kern w:val="0"/>
          <w:sz w:val="36"/>
          <w:szCs w:val="36"/>
          <w14:ligatures w14:val="none"/>
        </w:rPr>
        <w:lastRenderedPageBreak/>
        <w:t>Insulin and Syngene do not close the gap</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t xml:space="preserve">Our insulin revenue base is about </w:t>
      </w:r>
      <w:r w:rsidRPr="00E71435">
        <w:rPr>
          <w:rFonts w:ascii="Times New Roman" w:eastAsia="Times New Roman" w:hAnsi="Times New Roman" w:cs="Times New Roman"/>
          <w:b/>
          <w:bCs/>
          <w:kern w:val="0"/>
          <w14:ligatures w14:val="none"/>
        </w:rPr>
        <w:t>$340 million</w:t>
      </w:r>
      <w:r w:rsidRPr="00E71435">
        <w:rPr>
          <w:rFonts w:ascii="Times New Roman" w:eastAsia="Times New Roman" w:hAnsi="Times New Roman" w:cs="Times New Roman"/>
          <w:kern w:val="0"/>
          <w14:ligatures w14:val="none"/>
        </w:rPr>
        <w:t xml:space="preserve">, and we forecast </w:t>
      </w:r>
      <w:r w:rsidRPr="00E71435">
        <w:rPr>
          <w:rFonts w:ascii="Times New Roman" w:eastAsia="Times New Roman" w:hAnsi="Times New Roman" w:cs="Times New Roman"/>
          <w:b/>
          <w:bCs/>
          <w:kern w:val="0"/>
          <w14:ligatures w14:val="none"/>
        </w:rPr>
        <w:t>11–12% annual growth</w:t>
      </w:r>
      <w:r w:rsidRPr="00E71435">
        <w:rPr>
          <w:rFonts w:ascii="Times New Roman" w:eastAsia="Times New Roman" w:hAnsi="Times New Roman" w:cs="Times New Roman"/>
          <w:kern w:val="0"/>
          <w14:ligatures w14:val="none"/>
        </w:rPr>
        <w:t>. At 11%, revenue reaches about $517 million after four years; at 12%, it reaches about $535 million. Reaching $1 billion would require roughly 31% annual growth over four years or more than 43% over three years. Insulin remains a useful growth business, but our operating assumptions do not support the scale needed to offset a slower biosimilars ramp and the financing burden.</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t>We forecast broadly flat Syngene revenue in FY27 and no material acceleration in FY28. The currently visible project and development pipeline does not support a sharp near-term earnings inflection. Syngene therefore offers limited help in closing Biocon’s earnings gap over our forecast period.</w:t>
      </w:r>
    </w:p>
    <w:p w:rsidR="00E71435" w:rsidRPr="00E71435" w:rsidRDefault="00E71435" w:rsidP="00E7143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71435">
        <w:rPr>
          <w:rFonts w:ascii="Times New Roman" w:eastAsia="Times New Roman" w:hAnsi="Times New Roman" w:cs="Times New Roman"/>
          <w:b/>
          <w:bCs/>
          <w:kern w:val="0"/>
          <w:sz w:val="36"/>
          <w:szCs w:val="36"/>
          <w14:ligatures w14:val="none"/>
        </w:rPr>
        <w:t>What does Mylan’s exit signal?</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t>Viatris has described the broader transaction as monetisation of its Biocon Biologics stake and part of its strategic evolution. A shareholder can sell for portfolio reasons unrelated to the investee company’s outlook. Still, Mylan is offering its entire position soon after the contractual lock-up and is not retaining a residual stake. The ₹378.50 floor price is also below the ₹405.78 share-swap reference price. We read the immediate clean-out as limited willingness to retain exposure to Biocon’s next phase of value creation, rather than conclusive evidence on its operating outlook.</w:t>
      </w:r>
    </w:p>
    <w:p w:rsidR="00E71435" w:rsidRPr="00E71435" w:rsidRDefault="00E71435" w:rsidP="00E7143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71435">
        <w:rPr>
          <w:rFonts w:ascii="Times New Roman" w:eastAsia="Times New Roman" w:hAnsi="Times New Roman" w:cs="Times New Roman"/>
          <w:b/>
          <w:bCs/>
          <w:kern w:val="0"/>
          <w:sz w:val="36"/>
          <w:szCs w:val="36"/>
          <w14:ligatures w14:val="none"/>
        </w:rPr>
        <w:t>Investment implications</w:t>
      </w:r>
    </w:p>
    <w:p w:rsidR="00E71435" w:rsidRPr="00E71435" w:rsidRDefault="00E71435" w:rsidP="00E71435">
      <w:pPr>
        <w:spacing w:before="100" w:beforeAutospacing="1" w:after="100" w:afterAutospacing="1"/>
        <w:rPr>
          <w:rFonts w:ascii="Times New Roman" w:eastAsia="Times New Roman" w:hAnsi="Times New Roman" w:cs="Times New Roman"/>
          <w:kern w:val="0"/>
          <w14:ligatures w14:val="none"/>
        </w:rPr>
      </w:pPr>
      <w:r w:rsidRPr="00E71435">
        <w:rPr>
          <w:rFonts w:ascii="Times New Roman" w:eastAsia="Times New Roman" w:hAnsi="Times New Roman" w:cs="Times New Roman"/>
          <w:kern w:val="0"/>
          <w14:ligatures w14:val="none"/>
        </w:rPr>
        <w:t xml:space="preserve">The block deal may remove the near-term supply overhang, which can provide technical relief to the shares. It does not improve EPS, cash generation or leverage. Under our forecasts, the $2 billion biosimilars and $1 billion insulin outcomes remain distant, while new launches have not yet shown the commercial ramp needed to close the gap. We retain </w:t>
      </w:r>
      <w:r w:rsidRPr="00E71435">
        <w:rPr>
          <w:rFonts w:ascii="Times New Roman" w:eastAsia="Times New Roman" w:hAnsi="Times New Roman" w:cs="Times New Roman"/>
          <w:b/>
          <w:bCs/>
          <w:kern w:val="0"/>
          <w14:ligatures w14:val="none"/>
        </w:rPr>
        <w:t>Underperform</w:t>
      </w:r>
      <w:r w:rsidRPr="00E71435">
        <w:rPr>
          <w:rFonts w:ascii="Times New Roman" w:eastAsia="Times New Roman" w:hAnsi="Times New Roman" w:cs="Times New Roman"/>
          <w:kern w:val="0"/>
          <w14:ligatures w14:val="none"/>
        </w:rPr>
        <w:t xml:space="preserve"> and our </w:t>
      </w:r>
      <w:r w:rsidRPr="00E71435">
        <w:rPr>
          <w:rFonts w:ascii="Times New Roman" w:eastAsia="Times New Roman" w:hAnsi="Times New Roman" w:cs="Times New Roman"/>
          <w:b/>
          <w:bCs/>
          <w:kern w:val="0"/>
          <w14:ligatures w14:val="none"/>
        </w:rPr>
        <w:t>₹326 price target</w:t>
      </w:r>
      <w:r w:rsidRPr="00E71435">
        <w:rPr>
          <w:rFonts w:ascii="Times New Roman" w:eastAsia="Times New Roman" w:hAnsi="Times New Roman" w:cs="Times New Roman"/>
          <w:kern w:val="0"/>
          <w14:ligatures w14:val="none"/>
        </w:rPr>
        <w:t>. A rerating requires evidence of materially faster US sales conversion and deleveraging.</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35"/>
    <w:rsid w:val="007B788F"/>
    <w:rsid w:val="0098646A"/>
    <w:rsid w:val="00E71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B02589B-7B68-8945-BA93-0A3D5F528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7143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7143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43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71435"/>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71435"/>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14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480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1112</Words>
  <Characters>6341</Characters>
  <Application>Microsoft Office Word</Application>
  <DocSecurity>0</DocSecurity>
  <Lines>52</Lines>
  <Paragraphs>14</Paragraphs>
  <ScaleCrop>false</ScaleCrop>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2026-07-14T06:08:00Z</dcterms:created>
  <dcterms:modified xsi:type="dcterms:W3CDTF">2026-07-14T06:08:00Z</dcterms:modified>
</cp:coreProperties>
</file>