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Europe / EMU is Organon’s largest ex-U.S. region, with revenue of $1.52 billion in 2021, $1.43 billion in 2022, $1.46 billion in 2023, $1.54 billion in 2024 and $1.41 billion in 2025, implying a 2021-25 CAGR of approximately -1.9%. The region still represents roughly 31% of Organon’s ex-U.S. commercial base, but the mix is now clearly ex-growth unless offset by higher-quality categories. Western Europe is the core market, with revenue of $1.26 billion in 2021, $1.18 billion in 2022, $1.21 billion in 2023, $1.28 billion in 2024 and $1.16 billion in 2025, while Eastern Europe contributed $305 million, $285 million, $290 million, $310 million and $295 million over the same period. The therapy mix is led by women’s health, fertility, biosimilars and established brands. In women’s health, the core products are NuvaRing, Marvelon, Mercilon and Cerazette, with Europe also being a major market for Nexplanon / Implanon NXT. Nexplanon remains the global anchor asset at $921 million of FY25 sales, while NuvaRing and the oral contraceptive portfolio are more mature, price-exposed assets, with NuvaRing at $91 million and Marvelon / Mercilon at roughly $64 million each. Fertility is more strategically attractive: Follistim AQ generated $264 million globally and, together with Puregon and Ganirelix, gives Organon exposure to IVF and assisted reproduction across the Netherlands, France, Germany, Australia and other developed markets. Biosimilars are the second mix-upgrade lever, with Ontruzant at $351 million, Renflexis at $228 million and Brenzys at $99 million globally, supported by hospital procurement, tender channels and specialist adoption across Europe. The offset is that Europe remains structurally burdened by reference pricing, reimbursement pressure, generic substitution, loss-of-exclusivity erosion and FX. The region’s 2024 recovery was not a new growth cycle; it was a mix and execution recovery. The 2025 decline to $1.41 billion reinforces the point that Europe should be underwritten as a scale and cash-generation region, with upside dependent on defending contraception and fertility, improving biosimilar penetration, and slowing erosion in the legacy cardiovascular, respiratory and primary-care book.</w:t>
      </w:r>
    </w:p>
    <w:p>
      <w:pPr>
        <w:pStyle w:val="BodyText"/>
      </w:pPr>
      <w:r>
        <w:t xml:space="preserve">MENA is smaller but strategically more attractive because the region has a better mix of healthcare investment, fertility demand, premium women’s health penetration and emerging-market commercial upside. Revenue increased from approximately $180 million in 2021 to $191 million in 2022, $206 million in 2023, $221 million in 2024 and $231 million in 2025, implying a 2021-25 CAGR of approximately 6.4%, with regional share rising from 4.03% in 2022 to 5.01% in 2025. The Middle East country cluster shows the clearest growth profile, moving from $125 million in 2021 to $135 million in 2022, $148 million in 2023, $160 million in 2024 and $165 million in 2025, a 7.2% CAGR, with growth split between volume and price. The therapy mix is more attractive than headline size suggests. Established brands still provide the base, but the incremental growth is in premium contraception, fertility and women’s health. Marvelon and Mercilon are relevant oral contraceptive products in MENA and Southeast Asia, while Nexplanon is the higher-quality long-acting reversible contraception asset where underpenetration remains material versus developed markets. Fertility is the more important second leg: Follistim AQ / Puregon, Ganirelix and adjacent IVF products benefit from private-pay fertility demand, Gulf healthcare spending, specialist clinic expansion and hospital-channel access. Respiratory, cardiovascular and primary-care brands remain meaningful for breadth, but they are less strategically differentiated than the gynecology and fertility portfolio. The region’s main headwinds are pricing controls, tender dependence, reimbursement variability, country concentration, FX volatility and geopolitics. Even after adjusting for these risks, MENA looks like a higher-return deployment region for Sun Pharma than Europe because the limiting factor is not product relevance, but commercial reach. A stronger Sun field force across gynecology, chronic care, hospitals and emerging-market retail channels can plausibly lift Organon’s women’s health, fertility and established-brand execution in the Gulf and broader MENA region.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2026-06-16T04:07:34Z</dcterms:created>
  <dcterms:modified xsi:type="dcterms:W3CDTF">2026-06-16T04:07:34Z</dcterms:modified>
</cp:coreProperties>
</file>

<file path=docProps/custom.xml><?xml version="1.0" encoding="utf-8"?>
<Properties xmlns="http://schemas.openxmlformats.org/officeDocument/2006/custom-properties" xmlns:vt="http://schemas.openxmlformats.org/officeDocument/2006/docPropsVTypes"/>
</file>