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60F6" w:rsidRPr="001060F6" w:rsidRDefault="001060F6" w:rsidP="001060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</w:rPr>
        <w:t>Hi Tanmaya,</w:t>
      </w:r>
    </w:p>
    <w:p w:rsidR="001060F6" w:rsidRPr="001060F6" w:rsidRDefault="001060F6" w:rsidP="001060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</w:rPr>
        <w:t>Thanks. Our crisp responses are below.</w:t>
      </w:r>
    </w:p>
    <w:p w:rsidR="001060F6" w:rsidRPr="001060F6" w:rsidRDefault="001060F6" w:rsidP="001060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  <w:b/>
          <w:bCs/>
        </w:rPr>
        <w:t>Nubeqa peak sales:</w:t>
      </w:r>
      <w:r w:rsidRPr="001060F6">
        <w:rPr>
          <w:rFonts w:ascii="Times New Roman" w:eastAsia="Times New Roman" w:hAnsi="Times New Roman" w:cs="Times New Roman"/>
        </w:rPr>
        <w:t xml:space="preserve"> We have not built a full Bayer molecule-wise model. Our working view is that Nubeqa can reach around </w:t>
      </w:r>
      <w:r w:rsidRPr="001060F6">
        <w:rPr>
          <w:rFonts w:ascii="Times New Roman" w:eastAsia="Times New Roman" w:hAnsi="Times New Roman" w:cs="Times New Roman"/>
          <w:b/>
          <w:bCs/>
        </w:rPr>
        <w:t>$5bn global peak sales over the next 4 to 5 years</w:t>
      </w:r>
      <w:r w:rsidRPr="001060F6">
        <w:rPr>
          <w:rFonts w:ascii="Times New Roman" w:eastAsia="Times New Roman" w:hAnsi="Times New Roman" w:cs="Times New Roman"/>
        </w:rPr>
        <w:t xml:space="preserve">. We expect volume growth to continue as mCSPC adoption scales and Nubeqa moves earlier in the treatment pathway. We also do not expect a steep price reset post generic Xtandi, because Nubeqa has a differentiated tolerability profile, particularly lower CNS exposure. Our working assumption is that price erosion should be limited to around </w:t>
      </w:r>
      <w:r w:rsidRPr="001060F6">
        <w:rPr>
          <w:rFonts w:ascii="Times New Roman" w:eastAsia="Times New Roman" w:hAnsi="Times New Roman" w:cs="Times New Roman"/>
          <w:b/>
          <w:bCs/>
        </w:rPr>
        <w:t>10% to 15%</w:t>
      </w:r>
      <w:r w:rsidRPr="001060F6">
        <w:rPr>
          <w:rFonts w:ascii="Times New Roman" w:eastAsia="Times New Roman" w:hAnsi="Times New Roman" w:cs="Times New Roman"/>
        </w:rPr>
        <w:t>, rather than a generic-like collapse, if physicians continue to value lower fatigue, dizziness, falls, cognition and seizure-risk burden.</w:t>
      </w:r>
    </w:p>
    <w:p w:rsidR="001060F6" w:rsidRPr="001060F6" w:rsidRDefault="001060F6" w:rsidP="001060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  <w:b/>
          <w:bCs/>
        </w:rPr>
        <w:t>Clinical trial extensions:</w:t>
      </w:r>
      <w:r w:rsidRPr="001060F6">
        <w:rPr>
          <w:rFonts w:ascii="Times New Roman" w:eastAsia="Times New Roman" w:hAnsi="Times New Roman" w:cs="Times New Roman"/>
        </w:rPr>
        <w:t xml:space="preserve"> Bayer is moving Nubeqa earlier in the prostate cancer treatment pathway. </w:t>
      </w:r>
      <w:r w:rsidRPr="001060F6">
        <w:rPr>
          <w:rFonts w:ascii="Times New Roman" w:eastAsia="Times New Roman" w:hAnsi="Times New Roman" w:cs="Times New Roman"/>
          <w:b/>
          <w:bCs/>
        </w:rPr>
        <w:t>ARANOTE</w:t>
      </w:r>
      <w:r w:rsidRPr="001060F6">
        <w:rPr>
          <w:rFonts w:ascii="Times New Roman" w:eastAsia="Times New Roman" w:hAnsi="Times New Roman" w:cs="Times New Roman"/>
        </w:rPr>
        <w:t xml:space="preserve"> expanded the mCSPC opportunity without mandatory docetaxel. </w:t>
      </w:r>
      <w:r w:rsidRPr="001060F6">
        <w:rPr>
          <w:rFonts w:ascii="Times New Roman" w:eastAsia="Times New Roman" w:hAnsi="Times New Roman" w:cs="Times New Roman"/>
          <w:b/>
          <w:bCs/>
        </w:rPr>
        <w:t>ARASTEP</w:t>
      </w:r>
      <w:r w:rsidRPr="001060F6">
        <w:rPr>
          <w:rFonts w:ascii="Times New Roman" w:eastAsia="Times New Roman" w:hAnsi="Times New Roman" w:cs="Times New Roman"/>
        </w:rPr>
        <w:t xml:space="preserve"> is testing darolutamide in high-risk biochemical recurrence. </w:t>
      </w:r>
      <w:r w:rsidRPr="001060F6">
        <w:rPr>
          <w:rFonts w:ascii="Times New Roman" w:eastAsia="Times New Roman" w:hAnsi="Times New Roman" w:cs="Times New Roman"/>
          <w:b/>
          <w:bCs/>
        </w:rPr>
        <w:t>DASL-HiCaP</w:t>
      </w:r>
      <w:r w:rsidRPr="001060F6">
        <w:rPr>
          <w:rFonts w:ascii="Times New Roman" w:eastAsia="Times New Roman" w:hAnsi="Times New Roman" w:cs="Times New Roman"/>
        </w:rPr>
        <w:t xml:space="preserve"> is testing darolutamide in localized/high-risk disease with radiotherapy. If these work, Nubeqa’s addressable population and treatment duration both expand.</w:t>
      </w:r>
    </w:p>
    <w:p w:rsidR="001060F6" w:rsidRPr="001060F6" w:rsidRDefault="001060F6" w:rsidP="001060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  <w:b/>
          <w:bCs/>
        </w:rPr>
        <w:t>Manufacturing complexity:</w:t>
      </w:r>
      <w:r w:rsidRPr="001060F6">
        <w:rPr>
          <w:rFonts w:ascii="Times New Roman" w:eastAsia="Times New Roman" w:hAnsi="Times New Roman" w:cs="Times New Roman"/>
        </w:rPr>
        <w:t xml:space="preserve"> Xtandi is a valuable high-potency oral oncology generic, but multiple tentative approvals suggest capable OSD players can manufacture it once patents clear. Nubeqa is chemically and formulation-wise more CDMO-relevant. Darolutamide is a poorly soluble BCS Class II drug with around 30% fasted bioavailability and a 2.0 to 2.5x food effect; the patent work uses amorphous solid dispersion to improve solubility, dissolution and absorption. Therefore, Nubeqa complexity is not just API synthesis. It also requires solid-state control, polymer/formulation know-how, impurity control, validation and scale-up discipline. Chemically, darolutamide’s differentiated structure and regulated innovator supply chain make qualified intermediate suppliers stickier than a normal generic OSD supply chain. This is why Nubeqa has the stronger Acutaas/Navin CDMO read-through versus Xtandi.</w:t>
      </w:r>
    </w:p>
    <w:p w:rsidR="001060F6" w:rsidRPr="001060F6" w:rsidRDefault="001060F6" w:rsidP="001060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  <w:b/>
          <w:bCs/>
        </w:rPr>
        <w:t>Eugia 40mg only:</w:t>
      </w:r>
      <w:r w:rsidRPr="001060F6">
        <w:rPr>
          <w:rFonts w:ascii="Times New Roman" w:eastAsia="Times New Roman" w:hAnsi="Times New Roman" w:cs="Times New Roman"/>
        </w:rPr>
        <w:t xml:space="preserve"> Eugia’s approval is for </w:t>
      </w:r>
      <w:r w:rsidRPr="001060F6">
        <w:rPr>
          <w:rFonts w:ascii="Times New Roman" w:eastAsia="Times New Roman" w:hAnsi="Times New Roman" w:cs="Times New Roman"/>
          <w:b/>
          <w:bCs/>
        </w:rPr>
        <w:t>enzalutamide capsules</w:t>
      </w:r>
      <w:r w:rsidRPr="001060F6">
        <w:rPr>
          <w:rFonts w:ascii="Times New Roman" w:eastAsia="Times New Roman" w:hAnsi="Times New Roman" w:cs="Times New Roman"/>
        </w:rPr>
        <w:t xml:space="preserve">, and Xtandi capsules are </w:t>
      </w:r>
      <w:r w:rsidRPr="001060F6">
        <w:rPr>
          <w:rFonts w:ascii="Times New Roman" w:eastAsia="Times New Roman" w:hAnsi="Times New Roman" w:cs="Times New Roman"/>
          <w:b/>
          <w:bCs/>
        </w:rPr>
        <w:t>40mg</w:t>
      </w:r>
      <w:r w:rsidRPr="001060F6">
        <w:rPr>
          <w:rFonts w:ascii="Times New Roman" w:eastAsia="Times New Roman" w:hAnsi="Times New Roman" w:cs="Times New Roman"/>
        </w:rPr>
        <w:t xml:space="preserve">. The standard 160mg dose is taken as four 40mg capsules. There is no 80mg capsule reference product to copy. The </w:t>
      </w:r>
      <w:r w:rsidRPr="001060F6">
        <w:rPr>
          <w:rFonts w:ascii="Times New Roman" w:eastAsia="Times New Roman" w:hAnsi="Times New Roman" w:cs="Times New Roman"/>
          <w:b/>
          <w:bCs/>
        </w:rPr>
        <w:t>80mg strength belongs to the tablet formulation</w:t>
      </w:r>
      <w:r w:rsidRPr="001060F6">
        <w:rPr>
          <w:rFonts w:ascii="Times New Roman" w:eastAsia="Times New Roman" w:hAnsi="Times New Roman" w:cs="Times New Roman"/>
        </w:rPr>
        <w:t xml:space="preserve">, where Xtandi is available as 40mg and 80mg tablets. Hence, Eugia’s 40mg approval likely reflects a capsule-route filing, not necessarily a failed 80mg filing. Zydus is different because it has tentative approval for </w:t>
      </w:r>
      <w:r w:rsidRPr="001060F6">
        <w:rPr>
          <w:rFonts w:ascii="Times New Roman" w:eastAsia="Times New Roman" w:hAnsi="Times New Roman" w:cs="Times New Roman"/>
          <w:b/>
          <w:bCs/>
        </w:rPr>
        <w:t>enzalutamide tablets 40mg and 80mg</w:t>
      </w:r>
      <w:r w:rsidRPr="001060F6">
        <w:rPr>
          <w:rFonts w:ascii="Times New Roman" w:eastAsia="Times New Roman" w:hAnsi="Times New Roman" w:cs="Times New Roman"/>
        </w:rPr>
        <w:t>, which is the cleaner commercial route for the tablet market.</w:t>
      </w:r>
    </w:p>
    <w:p w:rsidR="001060F6" w:rsidRPr="001060F6" w:rsidRDefault="001060F6" w:rsidP="001060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060F6">
        <w:rPr>
          <w:rFonts w:ascii="Times New Roman" w:eastAsia="Times New Roman" w:hAnsi="Times New Roman" w:cs="Times New Roman"/>
        </w:rPr>
        <w:t>Best,</w:t>
      </w:r>
      <w:r w:rsidRPr="001060F6">
        <w:rPr>
          <w:rFonts w:ascii="Times New Roman" w:eastAsia="Times New Roman" w:hAnsi="Times New Roman" w:cs="Times New Roman"/>
        </w:rPr>
        <w:br/>
        <w:t>Shirsh</w:t>
      </w:r>
    </w:p>
    <w:p w:rsidR="00981DEB" w:rsidRDefault="00981DEB">
      <w:pPr>
        <w:pStyle w:val="BodyText"/>
      </w:pPr>
    </w:p>
    <w:sectPr w:rsidR="00981D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1AB9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13F2879"/>
    <w:multiLevelType w:val="multilevel"/>
    <w:tmpl w:val="DCC8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645956">
    <w:abstractNumId w:val="0"/>
  </w:num>
  <w:num w:numId="2" w16cid:durableId="201668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DEB"/>
    <w:rsid w:val="001060F6"/>
    <w:rsid w:val="009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D5691"/>
  <w15:docId w15:val="{DA48E9F9-88F3-184A-8959-DFB310C7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isselectedend">
    <w:name w:val="isselectedend"/>
    <w:basedOn w:val="Normal"/>
    <w:rsid w:val="001060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60F6"/>
    <w:rPr>
      <w:b/>
      <w:bCs/>
    </w:rPr>
  </w:style>
  <w:style w:type="paragraph" w:styleId="NormalWeb">
    <w:name w:val="Normal (Web)"/>
    <w:basedOn w:val="Normal"/>
    <w:uiPriority w:val="99"/>
    <w:unhideWhenUsed/>
    <w:rsid w:val="001060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Shirsh Sawarna</cp:lastModifiedBy>
  <cp:revision>2</cp:revision>
  <dcterms:created xsi:type="dcterms:W3CDTF">2026-06-22T07:14:00Z</dcterms:created>
  <dcterms:modified xsi:type="dcterms:W3CDTF">2026-06-23T03:29:00Z</dcterms:modified>
</cp:coreProperties>
</file>