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12A4" w:rsidRDefault="006412A4" w:rsidP="006412A4">
      <w:pPr>
        <w:pStyle w:val="pdq2pgselectionanchorcontainer"/>
      </w:pPr>
      <w:r>
        <w:rPr>
          <w:rStyle w:val="Strong"/>
        </w:rPr>
        <w:t>DIAGNOSTICS:</w:t>
      </w:r>
    </w:p>
    <w:p w:rsidR="006412A4" w:rsidRDefault="006412A4" w:rsidP="006412A4">
      <w:pPr>
        <w:pStyle w:val="NormalWeb"/>
      </w:pPr>
      <w:r>
        <w:t>Standard culture and susceptibility workflows often take days. During that period, clinicians use empirical antibiotics. That creates two risks. First, the patient may receive an ineffective drug. Second, broad-spectrum drugs are overused in patients who did not need them. This is central to the AMR problem because the clinical decision is made before the microbiology answer is available. In our view, the diagnostic value pool sits exactly at this decision point. Faster organism identification and resistance detection can convert AMR management from a broad empirical approach to a more targeted therapeutic approach. Globally, we believe increasingly innovative diagnostic tools are developed by large listed players as well as biotech startups primarily in USA, Sweden, and Germany. We like a couple of such products that we believe have a strong potential in the AMR diagnostic value chain.</w:t>
      </w:r>
    </w:p>
    <w:p w:rsidR="006412A4" w:rsidRDefault="006412A4" w:rsidP="006412A4">
      <w:pPr>
        <w:pStyle w:val="NormalWeb"/>
      </w:pPr>
      <w:r>
        <w:rPr>
          <w:rStyle w:val="Strong"/>
        </w:rPr>
        <w:t>(1) Visby Medical (privately held)</w:t>
      </w:r>
      <w:r>
        <w:t xml:space="preserve"> is a great case study. Its core platform is portable, instrument-free PCR that produces results in under 30 minutes. The company’s second-generation Sexual Health point-of-care test received FDA 510(k) clearance and a CLIA waiver, with the stated ability to support same-visit testing and treatment. This is important because sexually transmitted infections are one of the settings where delayed diagnosis can directly drive either undertreatment or unnecessary broad empirical treatment. Visby also received US$1.8mn from CARB-X in 2024 to develop a rapid portable gonorrhea diagnostic that detects </w:t>
      </w:r>
      <w:r>
        <w:rPr>
          <w:rStyle w:val="Emphasis"/>
        </w:rPr>
        <w:t>Neisseria gonorrhoeae</w:t>
      </w:r>
      <w:r>
        <w:t xml:space="preserve"> and ciprofloxacin susceptibility. The clinical logic is simple and strong: identify when ciprofloxacin can be used and preserve ceftriaxone for resistant disease. In practical terms, this means the diagnostic is not just identifying the pathogen; it is also informing which antibiotic can be used at the same patient visit. That is the key AMR relevance. If a clinician can know whether ciprofloxacin is likely to work, the system can avoid defaulting to ceftriaxone in every patient. For a pathogen such as gonorrhea, where resistance pressure is already a public-health concern, this is a meaningful stewardship use case. The broader implication is that point-of-care molecular testing can create a treatment-decision product, not just a laboratory result. That is why Visby is a useful example of how diagnostics can directly participate in antibiotic preservation.</w:t>
      </w:r>
    </w:p>
    <w:p w:rsidR="006412A4" w:rsidRDefault="006412A4" w:rsidP="006412A4">
      <w:pPr>
        <w:pStyle w:val="NormalWeb"/>
      </w:pPr>
      <w:r>
        <w:rPr>
          <w:rStyle w:val="Strong"/>
        </w:rPr>
        <w:t>(2) Roche (not covered in India healthcare)</w:t>
      </w:r>
      <w:r>
        <w:t xml:space="preserve"> has a robust commercial platform Cobas, which represents a large-cap diagnostic model with reliable AMR and associated diagnostics in hospital, ICU, and specialist pathology lab settings. Roche is relevant because it is not trying to solve AMR only through a single narrow diagnostic product. It is using an established installed base, hospital relationships and molecular diagnostics infrastructure to embed AMR testing into routine clinical workflows. We like Roche’s approach to leverage Cobas base platform technology to build Cobas Eplex blood culture identification panels that identify bacterial and fungal organisms and resistance genes in around 90 minutes after blood culture bottle positivity. The panels include resistance markers such as mecA, mecC, vanA, vanB, CTX-M, KPC, NDM, OXA and VIM. Roche positions this as a stewardship tool that allows earlier escalation for resistant organisms and earlier de-escalation when narrower therapy is appropriate. The practical advantage is that this sits closer to high-acuity inpatient care, where every hour matters and where empirical broad-spectrum antibiotic use is most common. In bloodstream infections and sepsis pathways, earlier identification of organism and resistance markers can change therapy, isolation protocols and infection-control decisions. The AMR read-through is therefore two-</w:t>
      </w:r>
      <w:r>
        <w:lastRenderedPageBreak/>
        <w:t>sided. It helps identify genuinely resistant organisms faster, while also creating the confidence to step down therapy when broad coverage is not needed. For Roche, the strength is scale, platform depth and hospital integration. For AMR, the strength is that resistance detection becomes part of the clinical pathway rather than an academic laboratory output.</w:t>
      </w:r>
    </w:p>
    <w:p w:rsidR="006412A4" w:rsidRDefault="006412A4" w:rsidP="006412A4">
      <w:pPr>
        <w:pStyle w:val="NormalWeb"/>
      </w:pPr>
      <w:r>
        <w:rPr>
          <w:rStyle w:val="Strong"/>
        </w:rPr>
        <w:t>VACCINES:</w:t>
      </w:r>
    </w:p>
    <w:p w:rsidR="006412A4" w:rsidRDefault="006412A4" w:rsidP="006412A4">
      <w:pPr>
        <w:pStyle w:val="NormalWeb"/>
      </w:pPr>
      <w:r>
        <w:t>The vaccine angle in AMR is less immediate than diagnostics or reserve antibiotics, but strategically it is highly relevant. The reason is straightforward: if vaccines prevent infections, they reduce antibiotic consumption at source. That lowers both individual treatment exposure and population-level selection pressure for resistant strains. This makes vaccines a prevention-led AMR tool rather than a treatment-led AMR tool. The commercial model is also different. Diagnostics and antibiotics are used after infection is suspected, while vaccines need to be justified through avoided illness, avoided hospitalization, avoided antibiotic use and avoided transmission. That makes the opportunity attractive, but adoption will depend heavily on target pathogen, clinical setting, payer logic and trial endpoint design.</w:t>
      </w:r>
    </w:p>
    <w:p w:rsidR="006412A4" w:rsidRDefault="006412A4" w:rsidP="006412A4">
      <w:pPr>
        <w:pStyle w:val="NormalWeb"/>
      </w:pPr>
      <w:r>
        <w:rPr>
          <w:rStyle w:val="Strong"/>
        </w:rPr>
        <w:t>Bharat Biotech (NC)</w:t>
      </w:r>
      <w:r>
        <w:t xml:space="preserve"> is the most important Indian AMR vaccine case study. It is reportedly developing vaccines that could be administered before surgery to prevent hospital-acquired infections. It is a differentiated commercial model because it links vaccine value to avoided surgical infection cost. Management has indicated that vaccines could be given around one month before elective surgery for specific high-risk pathogens. This is an interesting AMR construct because the use case is targeted rather than mass-market. The potential buyer is not only a public immunization program, but also a hospital system trying to reduce post-surgical infections, antibiotic consumption, ICU stays and readmission risk. If clinically proven, this could create a hospital-led vaccine market where the value proposition is measured through avoided complications rather than only population immunization.</w:t>
      </w:r>
    </w:p>
    <w:p w:rsidR="006412A4" w:rsidRDefault="006412A4" w:rsidP="006412A4">
      <w:pPr>
        <w:pStyle w:val="NormalWeb"/>
      </w:pPr>
      <w:r>
        <w:t>Bharat Biotech has four novel vaccines entering Phase 3 efficacy trials, including a TB candidate expected to enroll more than 30,000 participants, and vaccines for Shigella, Salmonella and Chikungunya. The company has also in-licensed GSK’s Shigella vaccine candidate for further development, Phase 3 trials, regulatory advancement and large-scale manufacturing in low- and middle-income countries. The AMR case is strongest in Shigella, Salmonella and TB. These pathogens drive high antibiotic consumption and significant resistance pressure in LMICs. A successful vaccine can reduce illness, antibiotic exposure and resistant transmission. TB is particularly important because resistance is clinically severe, treatment duration is long and the health-system burden is material. Shigella and Salmonella are relevant because they contribute meaningfully to antibiotic use in diarrhoeal and enteric infections, especially in geographies where empirical treatment is common.</w:t>
      </w:r>
    </w:p>
    <w:p w:rsidR="006412A4" w:rsidRDefault="006412A4" w:rsidP="006412A4">
      <w:pPr>
        <w:pStyle w:val="NormalWeb"/>
      </w:pPr>
      <w:r>
        <w:t xml:space="preserve">Zydus, we believe, is another India-centric vaccine play with a potentially strong intersection with AMR. Zydus has over twenty vaccine products in its portfolio, WHO prequalification for typhoid conjugate and rabies vaccines, and an established vaccine technology center. ZyVac TCV is WHO prequalified and indicated for active immunization against </w:t>
      </w:r>
      <w:r>
        <w:rPr>
          <w:rStyle w:val="Emphasis"/>
        </w:rPr>
        <w:t>Salmonella typhi</w:t>
      </w:r>
      <w:r>
        <w:t xml:space="preserve"> in individuals aged 6 months to 65 years. Typhoid is important among these as preventing typhoid reduces antibiotic use and lowers transmission of resistant strains. The investment implication is </w:t>
      </w:r>
      <w:r>
        <w:lastRenderedPageBreak/>
        <w:t>that vaccine platforms with WHO prequalification, LMIC manufacturing scale and pathogen relevance can sit inside the AMR value chain, even if the product is not labelled commercially as an AMR asset.</w:t>
      </w:r>
    </w:p>
    <w:p w:rsidR="006412A4" w:rsidRDefault="006412A4" w:rsidP="006412A4">
      <w:pPr>
        <w:pStyle w:val="NormalWeb"/>
      </w:pPr>
      <w:r>
        <w:t>The conclusion is that vaccines are a credible AMR lever, but the proof burden is different from antibiotics and diagnostics. For antibiotics, the question is clinical efficacy against resistant organisms. For diagnostics, the question is whether faster information changes prescribing. For vaccines, the question is whether prevention reduces infection burden, antibiotic use and downstream resistance pressure in a way that payers and hospitals will recognize. The pre-surgical vaccine model will need clarity on trial design, pathogen selection, payer acceptance and hospital protocol integration. The broader Shigella, Salmonella, TB and typhoid opportunity is more population-health oriented. In our view, this makes vaccines an important but longer-cycle AMR innovation pool, with Indian players such as Bharat Biotech and Zydus positioned more through manufacturing scale, pathogen relevance and LMIC access than through near-term listed-market earnings impact.</w:t>
      </w:r>
    </w:p>
    <w:p w:rsidR="00F866E2" w:rsidRDefault="00F866E2">
      <w:pPr>
        <w:pStyle w:val="BodyText"/>
      </w:pPr>
    </w:p>
    <w:sectPr w:rsidR="00F866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42E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173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66E2"/>
    <w:rsid w:val="00176F4A"/>
    <w:rsid w:val="006412A4"/>
    <w:rsid w:val="00F8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C858D0"/>
  <w15:docId w15:val="{8271C675-7F38-1042-A272-D959F6A4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6412A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412A4"/>
    <w:rPr>
      <w:b/>
      <w:bCs/>
    </w:rPr>
  </w:style>
  <w:style w:type="paragraph" w:styleId="NormalWeb">
    <w:name w:val="Normal (Web)"/>
    <w:basedOn w:val="Normal"/>
    <w:uiPriority w:val="99"/>
    <w:unhideWhenUsed/>
    <w:rsid w:val="006412A4"/>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41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6677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3</cp:revision>
  <dcterms:created xsi:type="dcterms:W3CDTF">2026-07-01T10:39:00Z</dcterms:created>
  <dcterms:modified xsi:type="dcterms:W3CDTF">2026-07-02T15:01:00Z</dcterms:modified>
</cp:coreProperties>
</file>