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222F3" w14:textId="77777777" w:rsidR="006E76FB" w:rsidRDefault="00000000">
      <w:pPr>
        <w:pStyle w:val="Title"/>
      </w:pPr>
      <w:r>
        <w:t>GSK India</w:t>
      </w:r>
    </w:p>
    <w:p w14:paraId="7AA38BFB" w14:textId="77777777" w:rsidR="006E76FB" w:rsidRDefault="00000000">
      <w:pPr>
        <w:pStyle w:val="Heading1"/>
      </w:pPr>
      <w:r>
        <w:t>Outperform as new launches broaden the earnings base</w:t>
      </w:r>
    </w:p>
    <w:p w14:paraId="6F3E15DD" w14:textId="77777777" w:rsidR="006E76FB" w:rsidRDefault="00000000">
      <w:commentRangeStart w:id="0"/>
      <w:r>
        <w:t>We initiate coverage on GSK India with an Outperform rating and a target price of INR3,250, implying 31% upside to the reference price of INR2,485. We expect growth to accelerate as adult vaccines, respiratory and oncology contribute a larger share of sales. The established portfolio provides the revenue base and commercial infrastructure for this expansion. Our forecasts take sales towards INR60bn by FY30E, with EBITDA margins sustained in the mid-30s.</w:t>
      </w:r>
      <w:commentRangeEnd w:id="0"/>
      <w:r>
        <w:commentReference w:id="0"/>
      </w:r>
    </w:p>
    <w:p w14:paraId="3BD9BEE3" w14:textId="77777777" w:rsidR="006E76FB" w:rsidRDefault="00000000">
      <w:pPr>
        <w:pStyle w:val="Heading1"/>
      </w:pPr>
      <w:r>
        <w:t>Company overview</w:t>
      </w:r>
    </w:p>
    <w:p w14:paraId="2B7CF131" w14:textId="77777777" w:rsidR="006E76FB" w:rsidRDefault="00000000">
      <w:r>
        <w:t>GlaxoSmithKline Pharmaceuticals Limited is the India-listed pharmaceutical subsidiary of GSK plc. Established in 1924 and listed since 1969, the company has built its India business around prescription medicines and vaccines. Its established franchises include Augmentin and Ceftum in antibiotics, Calpol in fever and pain, Eltroxin in thyroid treatment, and brands such as T-Bact, Betnovate and Tenovate in dermatology. Paediatric and travel vaccines provide a second recurring source of demand.</w:t>
      </w:r>
      <w:r>
        <w:rPr>
          <w:sz w:val="16"/>
          <w:vertAlign w:val="superscript"/>
        </w:rPr>
        <w:t xml:space="preserve"> [1]</w:t>
      </w:r>
    </w:p>
    <w:p w14:paraId="733DBFC3" w14:textId="77777777" w:rsidR="006E76FB" w:rsidRDefault="00000000">
      <w:r>
        <w:t>The business combines local manufacturing and distribution with access to the parent's medicines and vaccines. Its Nashik facility produces oral and dermatology formulations. The parent's research portfolio supplies newer products for India, with local approvals, access and commercial execution determining the revenue captured by the listed company. Recent additions include Shingrix in shingles prevention, Trelegy Ellipta and Nucala in respiratory, and Jemperli and Zejula in oncology.</w:t>
      </w:r>
      <w:r>
        <w:rPr>
          <w:sz w:val="16"/>
          <w:vertAlign w:val="superscript"/>
        </w:rPr>
        <w:t xml:space="preserve"> [1, 5]</w:t>
      </w:r>
    </w:p>
    <w:p w14:paraId="22F28950" w14:textId="77777777" w:rsidR="006E76FB" w:rsidRDefault="00000000">
      <w:r>
        <w:t>The change in the investment case is the growing contribution from these newer products. Established medicines reach large patient populations through primary care and specialist prescribing. Adult vaccines and specialty medicines add different patient groups, treatment pathways and revenue per patient. We expect this broader portfolio to increase growth through FY30E as the newer franchises gain scale.</w:t>
      </w:r>
    </w:p>
    <w:p w14:paraId="4D8A8413" w14:textId="77777777" w:rsidR="006E76FB" w:rsidRDefault="00000000">
      <w:pPr>
        <w:keepLines/>
        <w:spacing w:before="40" w:after="180"/>
      </w:pPr>
      <w:r>
        <w:rPr>
          <w:i/>
          <w:color w:val="4A4A4A"/>
          <w:sz w:val="19"/>
        </w:rPr>
        <w:t>[Insert Exhibit 1 here: deck slide 24, right-hand therapy revenue chart. Caption: Vaccines and specialty medicines increase their share of GSK India's revenue.]</w:t>
      </w:r>
    </w:p>
    <w:p w14:paraId="55F9A7B7" w14:textId="77777777" w:rsidR="006E76FB" w:rsidRDefault="00000000">
      <w:r>
        <w:t>Augmentin remains the largest established franchise in our model. Paediatric vaccines and dermatology diversify sales across prescriber groups, with Calpol, Ceftum and Eltroxin adding further breadth. We forecast mid-to-high single-digit growth across the principal established franchises. These brands provide an existing sales base over which GSK can spread commercial and support costs as new products grow.</w:t>
      </w:r>
    </w:p>
    <w:p w14:paraId="65A3F703" w14:textId="77777777" w:rsidR="006E76FB" w:rsidRDefault="00000000">
      <w:pPr>
        <w:keepLines/>
        <w:spacing w:before="40" w:after="180"/>
      </w:pPr>
      <w:r>
        <w:rPr>
          <w:i/>
          <w:color w:val="4A4A4A"/>
          <w:sz w:val="19"/>
        </w:rPr>
        <w:t>[Insert Exhibit 2 here: deck slide 25, lower chart of established franchises and forecast CAGRs. Caption: Established brands provide the revenue base for specialty expansion.]</w:t>
      </w:r>
    </w:p>
    <w:p w14:paraId="5E481EA1" w14:textId="77777777" w:rsidR="006E76FB" w:rsidRDefault="00000000">
      <w:pPr>
        <w:pStyle w:val="Heading1"/>
      </w:pPr>
      <w:r>
        <w:t>Debate 1 Can GSK sustain respiratory growth after generic entry</w:t>
      </w:r>
    </w:p>
    <w:p w14:paraId="0FCBFFF3" w14:textId="77777777" w:rsidR="006E76FB" w:rsidRDefault="00000000">
      <w:r>
        <w:t>Trelegy's clinical evidence and Ellipta delivery system support growth beyond molecule exclusivity. In respiratory medicine, the inhaler determines how reliably a patient receives the prescribed drug. Preparation steps, inhalation technique and familiarity with the device affect treatment delivery. These factors give an established brand a basis for retaining prescriptions after competitors enter the molecule combination.</w:t>
      </w:r>
    </w:p>
    <w:p w14:paraId="2026D19D" w14:textId="77777777" w:rsidR="006E76FB" w:rsidRDefault="00000000">
      <w:r>
        <w:t xml:space="preserve">Trelegy combines an inhaled corticosteroid, a long-acting muscarinic antagonist and a long-acting beta agonist in one once-daily inhaler. It addresses patients who need treatment beyond dual therapy. Our market analysis shows India's single-inhaler triple-therapy market growing by approximately 60% </w:t>
      </w:r>
      <w:r>
        <w:lastRenderedPageBreak/>
        <w:t>between Q1CY25 and Q1CY26, with Trelegy's share also increasing after umeclidinium's loss of exclusivity. Brand growth is therefore supported by both category expansion and share gains.</w:t>
      </w:r>
    </w:p>
    <w:p w14:paraId="0C4440B1" w14:textId="77777777" w:rsidR="006E76FB" w:rsidRDefault="00000000">
      <w:pPr>
        <w:keepLines/>
        <w:spacing w:before="40" w:after="180"/>
      </w:pPr>
      <w:r>
        <w:rPr>
          <w:i/>
          <w:color w:val="4A4A4A"/>
          <w:sz w:val="19"/>
        </w:rPr>
        <w:t>[Insert Exhibit 3 here: deck slide 28, upper market-size and Trelegy-share chart. Caption: Trelegy gains share in an expanding triple-therapy market after generic entry.]</w:t>
      </w:r>
    </w:p>
    <w:p w14:paraId="317272CF" w14:textId="77777777" w:rsidR="006E76FB" w:rsidRDefault="00000000">
      <w:r>
        <w:t>Ellipta reduces the steps required to prepare a dose. Opening the cover advances and opens the blister strips, readying the formulations for delivery through one mouthpiece. This design is relevant in a chronic disease treated repeatedly at home. For the physician, a familiar device with fewer preparation steps can simplify training. For GSK, consistent use provides a reason for repeat prescribing and brand retention.</w:t>
      </w:r>
    </w:p>
    <w:p w14:paraId="0EAB44FF" w14:textId="77777777" w:rsidR="006E76FB" w:rsidRDefault="00000000">
      <w:pPr>
        <w:keepLines/>
        <w:spacing w:before="40" w:after="180"/>
      </w:pPr>
      <w:r>
        <w:rPr>
          <w:i/>
          <w:color w:val="4A4A4A"/>
          <w:sz w:val="19"/>
        </w:rPr>
        <w:t>[Insert Exhibit 4 here: deck slide 28, lower Ellipta and Ciphaler device diagrams. Caption: Ellipta integrates dose preparation into opening the inhaler.]</w:t>
      </w:r>
    </w:p>
    <w:p w14:paraId="5B829D49" w14:textId="77777777" w:rsidR="006E76FB" w:rsidRDefault="00000000">
      <w:r>
        <w:t>Clinical and device studies provide separate support for the product. The clinical trials show Trelegy's lung-function performance against the regimens studied. The inhaler-handling study found fewer critical errors with Ellipta than with each of the five comparator devices in COPD patients after they read the patient information leaflet. Ease of use is commercially relevant for a treatment that patients administer themselves.</w:t>
      </w:r>
      <w:r>
        <w:rPr>
          <w:sz w:val="16"/>
          <w:vertAlign w:val="superscript"/>
        </w:rPr>
        <w:t xml:space="preserve"> [3]</w:t>
      </w:r>
    </w:p>
    <w:p w14:paraId="3CD8F1A1" w14:textId="77777777" w:rsidR="006E76FB" w:rsidRDefault="00000000">
      <w:r>
        <w:t>GSK competes with established Indian respiratory franchises, including Cipla and Glenmark. Its advantage in Trelegy starts with the combination of clinical evidence and delivery design. Global development provides the evidence base, while local physician engagement and access convert that evidence into prescriptions. Category expansion and retention of established users underpin our forecast for continued respiratory growth. The competing triple-therapy products from Cipla, Sun Pharma and Lupin illustrate the importance of product-level execution.</w:t>
      </w:r>
      <w:r>
        <w:rPr>
          <w:sz w:val="16"/>
          <w:vertAlign w:val="superscript"/>
        </w:rPr>
        <w:t xml:space="preserve"> [2, 8, 9]</w:t>
      </w:r>
    </w:p>
    <w:p w14:paraId="69BA8DD8" w14:textId="77777777" w:rsidR="006E76FB" w:rsidRDefault="00000000">
      <w:pPr>
        <w:keepLines/>
        <w:spacing w:before="40" w:after="180"/>
      </w:pPr>
      <w:commentRangeStart w:id="1"/>
      <w:r>
        <w:rPr>
          <w:i/>
          <w:color w:val="4A4A4A"/>
          <w:sz w:val="19"/>
        </w:rPr>
        <w:t>[Insert Exhibit 5 here: deck slide 29, the clinical forest plot and inhaler-error chart, with the competitor product strip. Caption: Clinical evidence and device usability support Trelegy's commercial proposition. Label the forest plot as FEV1 difference in mL and the lower chart as critical inhaler-handling errors.]</w:t>
      </w:r>
      <w:commentRangeEnd w:id="1"/>
      <w:r>
        <w:commentReference w:id="1"/>
      </w:r>
    </w:p>
    <w:p w14:paraId="34E087F0" w14:textId="77777777" w:rsidR="006E76FB" w:rsidRDefault="00000000">
      <w:pPr>
        <w:pStyle w:val="Heading1"/>
      </w:pPr>
      <w:r>
        <w:t>Debate 2 Can oncology become a material revenue contributor</w:t>
      </w:r>
    </w:p>
    <w:p w14:paraId="24CBCE51" w14:textId="77777777" w:rsidR="006E76FB" w:rsidRDefault="00000000">
      <w:r>
        <w:t>We expect oncology to become a new source of revenue growth, with Jemperli and Zejula establishing the franchise and Blenrep providing the largest incremental contribution in our forecast. Each addresses a defined treatment population. Revenue depends on the number of eligible patients who start therapy, their time on treatment and the net revenue realised after access support. This makes the indication and treatment setting central to the commercial assessment.</w:t>
      </w:r>
    </w:p>
    <w:p w14:paraId="39B6C1E2" w14:textId="77777777" w:rsidR="006E76FB" w:rsidRDefault="00000000">
      <w:r>
        <w:t>Jemperli, a PD-1 immunotherapy, illustrates how an expanded indication changes the revenue opportunity. Its initial India use addressed previously treated dMMR/MSI-H advanced endometrial cancer. First-line approval brings the therapy earlier in the treatment pathway. Management described an expansion from approximately 800 eligible second-line patients to around 6,000 first-line patients. Earlier treatment reaches patients before progression and attrition reduce the population available for later lines.</w:t>
      </w:r>
      <w:r>
        <w:rPr>
          <w:sz w:val="16"/>
          <w:vertAlign w:val="superscript"/>
        </w:rPr>
        <w:t xml:space="preserve"> [4]</w:t>
      </w:r>
    </w:p>
    <w:p w14:paraId="3338C761" w14:textId="77777777" w:rsidR="006E76FB" w:rsidRDefault="00000000">
      <w:pPr>
        <w:keepLines/>
        <w:spacing w:before="40" w:after="180"/>
      </w:pPr>
      <w:commentRangeStart w:id="2"/>
      <w:r>
        <w:rPr>
          <w:i/>
          <w:color w:val="4A4A4A"/>
          <w:sz w:val="19"/>
        </w:rPr>
        <w:t>[Insert Exhibit 6 here: deck slide 31, upper Jemperli patient-pool chart. Caption: First-line approval expands Jemperli's eligible treatment population.]</w:t>
      </w:r>
      <w:commentRangeEnd w:id="2"/>
      <w:r>
        <w:commentReference w:id="2"/>
      </w:r>
    </w:p>
    <w:p w14:paraId="2445AAA2" w14:textId="77777777" w:rsidR="006E76FB" w:rsidRDefault="00000000">
      <w:r>
        <w:t>Zejula, an oral PARP inhibitor used in ovarian-cancer maintenance treatment, adds a second product in gynaecological oncology. The two products allow GSK to build specialist relationships and patient access around a focused group of cancer centres. Commercial growth will come from more eligible patients entering treatment and remaining on therapy. Patient support and access to appropriate testing help convert clinical eligibility into treatment starts.</w:t>
      </w:r>
      <w:r>
        <w:rPr>
          <w:sz w:val="16"/>
          <w:vertAlign w:val="superscript"/>
        </w:rPr>
        <w:t xml:space="preserve"> [5]</w:t>
      </w:r>
    </w:p>
    <w:p w14:paraId="1FAFCCE4" w14:textId="77777777" w:rsidR="006E76FB" w:rsidRDefault="00000000">
      <w:r>
        <w:lastRenderedPageBreak/>
        <w:t>Blenrep extends the portfolio into second-line treatment of relapsed or refractory multiple myeloma in India. It is an antibody-drug conjugate targeting BCMA on myeloma cells. The DREAMM-7 comparison reported median progression-free survival of 36.6 months for Blenrep plus bortezomib and dexamethasone, versus 13.4 months for daratumumab with the same backbone. The hazard ratio of 0.41 represents a 59% reduction in the risk of progression or death. This provides a clinical basis for adoption in the treatment setting studied.</w:t>
      </w:r>
      <w:r>
        <w:rPr>
          <w:sz w:val="16"/>
          <w:vertAlign w:val="superscript"/>
        </w:rPr>
        <w:t xml:space="preserve"> [2, 6]</w:t>
      </w:r>
    </w:p>
    <w:p w14:paraId="3653F79B" w14:textId="77777777" w:rsidR="006E76FB" w:rsidRDefault="00000000">
      <w:pPr>
        <w:keepLines/>
        <w:spacing w:before="40" w:after="180"/>
      </w:pPr>
      <w:r>
        <w:rPr>
          <w:i/>
          <w:color w:val="4A4A4A"/>
          <w:sz w:val="19"/>
        </w:rPr>
        <w:t>[Insert Exhibit 7 here: deck slide 31, lower DREAMM-7 progression-free-survival chart. Caption: The Blenrep combination improved progression-free survival against the daratumumab combination in DREAMM-7.]</w:t>
      </w:r>
    </w:p>
    <w:p w14:paraId="4E4ED8AA" w14:textId="77777777" w:rsidR="006E76FB" w:rsidRDefault="00000000">
      <w:r>
        <w:t>Execution in multiple myeloma requires haematology coverage, infusion access and eye-monitoring arrangements. Ocular toxicity management and dose adjustments are part of delivering the treatment. Our forecast makes Blenrep the largest incremental oncology contributor as these capabilities develop. Jemperli and Zejula provide the initial sales base, with the pace of Blenrep adoption determining the subsequent scale of the franchise.</w:t>
      </w:r>
    </w:p>
    <w:p w14:paraId="41DAC60D" w14:textId="77777777" w:rsidR="006E76FB" w:rsidRDefault="00000000">
      <w:pPr>
        <w:keepLines/>
        <w:spacing w:before="40" w:after="180"/>
      </w:pPr>
      <w:commentRangeStart w:id="3"/>
      <w:r>
        <w:rPr>
          <w:i/>
          <w:color w:val="4A4A4A"/>
          <w:sz w:val="19"/>
        </w:rPr>
        <w:t>[Insert Exhibit 8 here: deck slide 30, stacked product revenue forecast. Caption: Blenrep supplies the largest incremental contribution to our oncology forecast.]</w:t>
      </w:r>
      <w:commentRangeEnd w:id="3"/>
      <w:r>
        <w:commentReference w:id="3"/>
      </w:r>
    </w:p>
    <w:p w14:paraId="00ECC7D4" w14:textId="77777777" w:rsidR="006E76FB" w:rsidRDefault="00000000">
      <w:pPr>
        <w:pStyle w:val="Heading1"/>
      </w:pPr>
      <w:r>
        <w:t>Debate 3 Can the launch pipeline lift growth beyond the established portfolio</w:t>
      </w:r>
    </w:p>
    <w:p w14:paraId="16BAC119" w14:textId="77777777" w:rsidR="006E76FB" w:rsidRDefault="00000000">
      <w:commentRangeStart w:id="4"/>
      <w:r>
        <w:t>We expect the pipeline to lift growth through a small group of products that add new treatment and prevention categories. Our forecast starts with approximately 9% CAGR to FY30E from the portfolio already marketed at the FY26 base date. This includes both heritage brands and the continued growth of marketed innovations. Future launches add a further revenue contribution as the specialty portfolio broadens.</w:t>
      </w:r>
      <w:commentRangeEnd w:id="4"/>
      <w:r>
        <w:commentReference w:id="4"/>
      </w:r>
    </w:p>
    <w:p w14:paraId="158E8E96" w14:textId="77777777" w:rsidR="006E76FB" w:rsidRDefault="00000000">
      <w:pPr>
        <w:keepLines/>
        <w:spacing w:before="40" w:after="180"/>
      </w:pPr>
      <w:commentRangeStart w:id="5"/>
      <w:r>
        <w:rPr>
          <w:i/>
          <w:color w:val="4A4A4A"/>
          <w:sz w:val="19"/>
        </w:rPr>
        <w:t>[Insert Exhibit 9 here: deck slide 25, upper marketed-portfolio and future-launch revenue bridge. Caption: Marketed products provide the growth base and future launches add a further contribution.]</w:t>
      </w:r>
      <w:commentRangeEnd w:id="5"/>
      <w:r>
        <w:commentReference w:id="5"/>
      </w:r>
    </w:p>
    <w:p w14:paraId="1900DFCE" w14:textId="77777777" w:rsidR="006E76FB" w:rsidRDefault="00000000">
      <w:r>
        <w:t>Adult vaccines provide the clearest example of how a new product expands demand. GSK's established vaccine business serves paediatric and travel needs. Shingrix brings shingles prevention into older-adult care, while Arexvy adds prevention of RSV-related lower respiratory tract disease in eligible adults. The commercial task is to establish physician recommendation and vaccination within adult care. This creates an additional patient population for GSK's vaccine franchise.</w:t>
      </w:r>
    </w:p>
    <w:p w14:paraId="5196B2B8" w14:textId="77777777" w:rsidR="006E76FB" w:rsidRDefault="00000000">
      <w:r>
        <w:t>Our market forecast estimates approximately INR7bn of combined shingles and RSV category sales by FY30E. GSK participates through Shingrix and Arexvy. Uptake depends on physician endorsement, the patient's willingness to pay and access to vaccination. We therefore forecast adoption building over several years, supported by engagement with physicians treating older adults and patients with underlying disease.</w:t>
      </w:r>
    </w:p>
    <w:p w14:paraId="1D532CFA" w14:textId="77777777" w:rsidR="006E76FB" w:rsidRDefault="00000000">
      <w:pPr>
        <w:keepLines/>
        <w:spacing w:before="40" w:after="180"/>
      </w:pPr>
      <w:commentRangeStart w:id="6"/>
      <w:r>
        <w:rPr>
          <w:i/>
          <w:color w:val="4A4A4A"/>
          <w:sz w:val="19"/>
        </w:rPr>
        <w:t>[Insert Exhibits 10 and 11 here, side by side: deck slide 26, left-hand private-vaccine-market chart and right-hand Shingrix/Arexvy sales forecast. Captions: Shingles and RSV broaden India's private vaccine market. GSK's adult-vaccine sales build as uptake increases.]</w:t>
      </w:r>
      <w:commentRangeEnd w:id="6"/>
      <w:r>
        <w:commentReference w:id="6"/>
      </w:r>
    </w:p>
    <w:p w14:paraId="1AF132D0" w14:textId="77777777" w:rsidR="006E76FB" w:rsidRDefault="00000000">
      <w:r>
        <w:t>We forecast approximately 17% CAGR in GSK's vaccine revenue to FY30E. Established paediatric and travel vaccines provide the starting revenue base. Shingrix and Arexvy supply most of the incremental growth. Adult vaccination therefore increases the contribution from newer products while extending the company's reach across age groups.</w:t>
      </w:r>
    </w:p>
    <w:p w14:paraId="32370DAF" w14:textId="77777777" w:rsidR="006E76FB" w:rsidRDefault="00000000">
      <w:pPr>
        <w:keepLines/>
        <w:spacing w:before="40" w:after="180"/>
      </w:pPr>
      <w:r>
        <w:rPr>
          <w:i/>
          <w:color w:val="4A4A4A"/>
          <w:sz w:val="19"/>
        </w:rPr>
        <w:t>[Insert Exhibit 12 here: deck slide 27, vaccine revenue waterfall. Caption: Shingrix and Arexvy drive most of the incremental vaccine revenue in our forecast.]</w:t>
      </w:r>
    </w:p>
    <w:p w14:paraId="0514CE4A" w14:textId="77777777" w:rsidR="006E76FB" w:rsidRDefault="00000000">
      <w:r>
        <w:t xml:space="preserve">India's participation in global clinical trials also supports earlier local launches by generating evidence for regulatory submissions. The investment case rests on the commercial scale of individual assets. Price contributes within the limits applicable to each product; growth in marketed innovations comes </w:t>
      </w:r>
      <w:r>
        <w:lastRenderedPageBreak/>
        <w:t>from wider adoption and repeat treatment or vaccination. Future launches add revenue after commercial introduction. These product and patient additions support our forecast for sales approaching INR60bn by FY30E. Launch timing, treatment starts and revenue per asset will determine delivery.</w:t>
      </w:r>
      <w:r>
        <w:rPr>
          <w:sz w:val="16"/>
          <w:vertAlign w:val="superscript"/>
        </w:rPr>
        <w:t xml:space="preserve"> [7]</w:t>
      </w:r>
    </w:p>
    <w:p w14:paraId="0A3AACF3" w14:textId="77777777" w:rsidR="006E76FB" w:rsidRDefault="00000000">
      <w:pPr>
        <w:pStyle w:val="Heading1"/>
      </w:pPr>
      <w:r>
        <w:t>Debate 4 Can digital execution and operating discipline sustain margins</w:t>
      </w:r>
    </w:p>
    <w:p w14:paraId="0809A55F" w14:textId="77777777" w:rsidR="006E76FB" w:rsidRDefault="00000000">
      <w:r>
        <w:t>We expect GSK to sustain EBITDA margins in the mid-30s as sales accelerate. Recent gains reflect improved gross margins and cost discipline. The next phase requires investment in specialist coverage, medical engagement and patient access. Our forecast allows GSK to fund this expansion while retaining the operating efficiency built in the established business.</w:t>
      </w:r>
    </w:p>
    <w:p w14:paraId="7519DEBD" w14:textId="77777777" w:rsidR="006E76FB" w:rsidRDefault="00000000">
      <w:r>
        <w:t>Digital engagement can increase physician reach and improve the use of field-force time. GSK reported more than 18 million face-to-face and digital touchpoints in FY26, with digital channels accounting for roughly three-quarters. Its Minerva platform and other sales-support tools assist field teams with scientific content and preparation. The earnings benefit comes through higher sales per representative and better targeting of commercial spend as the portfolio expands.</w:t>
      </w:r>
      <w:r>
        <w:rPr>
          <w:sz w:val="16"/>
          <w:vertAlign w:val="superscript"/>
        </w:rPr>
        <w:t xml:space="preserve"> [1]</w:t>
      </w:r>
    </w:p>
    <w:p w14:paraId="7C82DF75" w14:textId="77777777" w:rsidR="006E76FB" w:rsidRDefault="00000000">
      <w:r>
        <w:t>Diagnostics supports specialty growth by identifying patients eligible for treatment. Biomarker testing in oncology and assessment of respiratory disease help direct appropriate patients to the relevant therapy. For GSK India, the commercial benefit is greater conversion from eligible patients to treated patients. Our investment case assigns this benefit to medicine sales and the productivity of the specialty franchise.</w:t>
      </w:r>
    </w:p>
    <w:p w14:paraId="43C393CC" w14:textId="77777777" w:rsidR="006E76FB" w:rsidRDefault="00000000">
      <w:r>
        <w:t>The Bengaluru Global Capability Centre is owned by GSK plc and supports global operations and research. Benefits to the listed company depend on the services it receives and their cost. Our margin forecast rests on the listed business's gross margins, selling efficiency and control of operating expenses. We expect these factors to sustain profitability as the contribution from newer products rises.</w:t>
      </w:r>
      <w:r>
        <w:rPr>
          <w:sz w:val="16"/>
          <w:vertAlign w:val="superscript"/>
        </w:rPr>
        <w:t xml:space="preserve"> [1]</w:t>
      </w:r>
    </w:p>
    <w:p w14:paraId="4109E289" w14:textId="77777777" w:rsidR="006E76FB" w:rsidRDefault="00000000">
      <w:pPr>
        <w:keepLines/>
        <w:spacing w:before="40" w:after="180"/>
      </w:pPr>
      <w:r>
        <w:rPr>
          <w:i/>
          <w:color w:val="4A4A4A"/>
          <w:sz w:val="19"/>
        </w:rPr>
        <w:t>[Insert Exhibit 13 here: deck slide 24, left-hand sales and EBITDA-margin chart. Caption: Revenue acceleration supports earnings growth with margins sustained in the mid-30s.]</w:t>
      </w:r>
    </w:p>
    <w:p w14:paraId="33446B0D" w14:textId="77777777" w:rsidR="006E76FB" w:rsidRDefault="00000000">
      <w:r>
        <w:t>The earnings case is supported by growth at an established margin level. A larger revenue base generates more operating profit while GSK continues to invest in the launch portfolio. Consistent delivery would demonstrate that the newer franchises can add earnings alongside the cash-generating established business. Greater confidence in sustained growth and margin delivery supports the earnings multiple we assign to GSK.</w:t>
      </w:r>
    </w:p>
    <w:p w14:paraId="62CB9DEC" w14:textId="77777777" w:rsidR="006E76FB" w:rsidRDefault="00000000">
      <w:pPr>
        <w:pStyle w:val="Heading1"/>
      </w:pPr>
      <w:r>
        <w:t>Valuation</w:t>
      </w:r>
    </w:p>
    <w:p w14:paraId="38765C86" w14:textId="77777777" w:rsidR="006E76FB" w:rsidRDefault="00000000">
      <w:commentRangeStart w:id="7"/>
      <w:r>
        <w:t>Our target price of INR3,250 implies approximately 39x FY28E EPS of INR82.6 and 31% upside to the reference price of INR2,485. We use FY28E earnings to capture the growing contribution from specialty medicines and adult vaccines. Our chosen valuation reflects access to the parent's research portfolio, established commercial franchises in India and the growth we forecast from newer products.</w:t>
      </w:r>
      <w:commentRangeEnd w:id="7"/>
      <w:r>
        <w:commentReference w:id="7"/>
      </w:r>
    </w:p>
    <w:p w14:paraId="2FC848D6" w14:textId="77777777" w:rsidR="006E76FB" w:rsidRDefault="00000000">
      <w:r>
        <w:t>The principal downside risks are slower adult-vaccine uptake, lower conversion of eligible oncology patients into treatment starts, greater price competition in respiratory and supply interruptions in established brands. Higher commercial spending or lower gross margins on imported products would reduce the earnings delivered by our sales forecast.</w:t>
      </w:r>
    </w:p>
    <w:p w14:paraId="319F1083" w14:textId="77777777" w:rsidR="006E76FB" w:rsidRDefault="00000000">
      <w:pPr>
        <w:keepLines/>
        <w:spacing w:before="40" w:after="180"/>
      </w:pPr>
      <w:r>
        <w:rPr>
          <w:i/>
          <w:color w:val="4A4A4A"/>
          <w:sz w:val="19"/>
        </w:rPr>
        <w:t>[Insert Exhibit 14 here: deck slide 32, valuation table. Caption: GSK India valuation based on FY28E earnings.]</w:t>
      </w:r>
    </w:p>
    <w:p w14:paraId="3E49321B" w14:textId="77777777" w:rsidR="006E76FB" w:rsidRDefault="00000000">
      <w:r>
        <w:br w:type="page"/>
      </w:r>
    </w:p>
    <w:p w14:paraId="1913F859" w14:textId="77777777" w:rsidR="006E76FB" w:rsidRDefault="00000000">
      <w:pPr>
        <w:pStyle w:val="Heading1"/>
      </w:pPr>
      <w:r>
        <w:lastRenderedPageBreak/>
        <w:t>Source references</w:t>
      </w:r>
    </w:p>
    <w:p w14:paraId="2E2B2D33" w14:textId="77777777" w:rsidR="006E76FB" w:rsidRDefault="00000000">
      <w:pPr>
        <w:spacing w:after="240"/>
      </w:pPr>
      <w:r>
        <w:t>Forecasts and exhibit locations refer to the supplied GSK India deck, slides 24–32. Financial projections, market estimates, brand forecasts and the reference share price are from that deck. External sources below support company background and clinical or regulatory statements. Exhibit numbering is local to this company section.</w:t>
      </w:r>
    </w:p>
    <w:p w14:paraId="4971C037" w14:textId="77777777" w:rsidR="006E76FB" w:rsidRDefault="00000000">
      <w:pPr>
        <w:spacing w:after="160"/>
      </w:pPr>
      <w:r>
        <w:rPr>
          <w:b/>
          <w:sz w:val="20"/>
        </w:rPr>
        <w:t xml:space="preserve">[1] </w:t>
      </w:r>
      <w:hyperlink r:id="rId11">
        <w:r>
          <w:rPr>
            <w:u w:val="single"/>
          </w:rPr>
          <w:t>GSK India Annual Report FY2025–26</w:t>
        </w:r>
      </w:hyperlink>
      <w:r>
        <w:rPr>
          <w:sz w:val="20"/>
        </w:rPr>
        <w:t>. Company history and operations; digital engagement and Minerva; ownership of the Bengaluru GCC. PDF pages 6, 29, 41–42.</w:t>
      </w:r>
    </w:p>
    <w:p w14:paraId="2BE7CAC9" w14:textId="77777777" w:rsidR="006E76FB" w:rsidRDefault="00000000">
      <w:pPr>
        <w:spacing w:after="160"/>
      </w:pPr>
      <w:r>
        <w:rPr>
          <w:b/>
          <w:sz w:val="20"/>
        </w:rPr>
        <w:t xml:space="preserve">[2] </w:t>
      </w:r>
      <w:hyperlink r:id="rId12">
        <w:r>
          <w:rPr>
            <w:u w:val="single"/>
          </w:rPr>
          <w:t>GSK India Q1 FY2027 earnings call 3 August 2026</w:t>
        </w:r>
      </w:hyperlink>
      <w:r>
        <w:rPr>
          <w:sz w:val="20"/>
        </w:rPr>
        <w:t>. Trelegy after generic entry; specialty portfolio and launch preparation.</w:t>
      </w:r>
    </w:p>
    <w:p w14:paraId="765B3B76" w14:textId="77777777" w:rsidR="006E76FB" w:rsidRDefault="00000000">
      <w:pPr>
        <w:spacing w:after="160"/>
      </w:pPr>
      <w:r>
        <w:rPr>
          <w:b/>
          <w:sz w:val="20"/>
        </w:rPr>
        <w:t xml:space="preserve">[3] </w:t>
      </w:r>
      <w:hyperlink r:id="rId13">
        <w:r>
          <w:rPr>
            <w:u w:val="single"/>
          </w:rPr>
          <w:t>Van der Palen et al 2016 inhaler handling study</w:t>
        </w:r>
      </w:hyperlink>
      <w:r>
        <w:rPr>
          <w:sz w:val="20"/>
        </w:rPr>
        <w:t>. Randomised open-label crossover comparison of Ellipta with other inhaler devices; COPD results after reading the patient leaflet.</w:t>
      </w:r>
    </w:p>
    <w:p w14:paraId="250511C9" w14:textId="77777777" w:rsidR="006E76FB" w:rsidRDefault="00000000">
      <w:pPr>
        <w:spacing w:after="160"/>
      </w:pPr>
      <w:r>
        <w:rPr>
          <w:b/>
          <w:sz w:val="20"/>
        </w:rPr>
        <w:t xml:space="preserve">[4] </w:t>
      </w:r>
      <w:hyperlink r:id="rId14">
        <w:r>
          <w:rPr>
            <w:u w:val="single"/>
          </w:rPr>
          <w:t>GSK India Q3 FY2026 earnings call 9 February 2026</w:t>
        </w:r>
      </w:hyperlink>
      <w:r>
        <w:rPr>
          <w:sz w:val="20"/>
        </w:rPr>
        <w:t>. Jemperli first-line approval and eligible patient estimates. Printed pages 3 and 8.</w:t>
      </w:r>
    </w:p>
    <w:p w14:paraId="4E87FF7F" w14:textId="77777777" w:rsidR="006E76FB" w:rsidRDefault="00000000">
      <w:pPr>
        <w:spacing w:after="160"/>
      </w:pPr>
      <w:r>
        <w:rPr>
          <w:b/>
          <w:sz w:val="20"/>
        </w:rPr>
        <w:t xml:space="preserve">[5] </w:t>
      </w:r>
      <w:hyperlink r:id="rId15">
        <w:r>
          <w:rPr>
            <w:u w:val="single"/>
          </w:rPr>
          <w:t>GSK India oncology launch announcement 25 August 2025</w:t>
        </w:r>
      </w:hyperlink>
      <w:r>
        <w:rPr>
          <w:sz w:val="20"/>
        </w:rPr>
        <w:t>. Jemperli and Zejula India launch, mechanism, indication and patient support.</w:t>
      </w:r>
    </w:p>
    <w:p w14:paraId="52617CCF" w14:textId="77777777" w:rsidR="006E76FB" w:rsidRDefault="00000000">
      <w:pPr>
        <w:spacing w:after="160"/>
      </w:pPr>
      <w:r>
        <w:rPr>
          <w:b/>
          <w:sz w:val="20"/>
        </w:rPr>
        <w:t xml:space="preserve">[6] </w:t>
      </w:r>
      <w:hyperlink r:id="rId16">
        <w:r>
          <w:rPr>
            <w:u w:val="single"/>
          </w:rPr>
          <w:t>GSK DREAMM 7 interim results 5 February 2024</w:t>
        </w:r>
      </w:hyperlink>
      <w:r>
        <w:rPr>
          <w:sz w:val="20"/>
        </w:rPr>
        <w:t>. Source of the 36.6 versus 13.4 month progression-free-survival comparison and HR 0.41 shown in the supplied deck.</w:t>
      </w:r>
    </w:p>
    <w:p w14:paraId="00FDEA98" w14:textId="77777777" w:rsidR="006E76FB" w:rsidRDefault="00000000">
      <w:pPr>
        <w:spacing w:after="160"/>
      </w:pPr>
      <w:r>
        <w:rPr>
          <w:b/>
          <w:sz w:val="20"/>
        </w:rPr>
        <w:t xml:space="preserve">[7] </w:t>
      </w:r>
      <w:hyperlink r:id="rId17">
        <w:r>
          <w:rPr>
            <w:u w:val="single"/>
          </w:rPr>
          <w:t>GSK India Q4 FY2026 earnings call 13 May 2026</w:t>
        </w:r>
      </w:hyperlink>
      <w:r>
        <w:rPr>
          <w:sz w:val="20"/>
        </w:rPr>
        <w:t>. India participation in global trials and local launch timing.</w:t>
      </w:r>
    </w:p>
    <w:p w14:paraId="281D7115" w14:textId="77777777" w:rsidR="006E76FB" w:rsidRDefault="00000000">
      <w:pPr>
        <w:spacing w:after="160"/>
      </w:pPr>
      <w:r>
        <w:rPr>
          <w:b/>
          <w:sz w:val="20"/>
        </w:rPr>
        <w:t xml:space="preserve">[8] </w:t>
      </w:r>
      <w:hyperlink r:id="rId18">
        <w:r>
          <w:rPr>
            <w:u w:val="single"/>
          </w:rPr>
          <w:t>Cipla Annual Report FY2025–26</w:t>
        </w:r>
      </w:hyperlink>
      <w:r>
        <w:rPr>
          <w:sz w:val="20"/>
        </w:rPr>
        <w:t>. Respiratory franchise context.</w:t>
      </w:r>
    </w:p>
    <w:p w14:paraId="0C87FE63" w14:textId="77777777" w:rsidR="006E76FB" w:rsidRDefault="00000000">
      <w:pPr>
        <w:spacing w:after="160"/>
        <w:rPr>
          <w:sz w:val="20"/>
        </w:rPr>
      </w:pPr>
      <w:r>
        <w:rPr>
          <w:b/>
          <w:sz w:val="20"/>
        </w:rPr>
        <w:t xml:space="preserve">[9] </w:t>
      </w:r>
      <w:hyperlink r:id="rId19">
        <w:r>
          <w:rPr>
            <w:u w:val="single"/>
          </w:rPr>
          <w:t>Glenmark respiratory franchise</w:t>
        </w:r>
      </w:hyperlink>
      <w:r>
        <w:rPr>
          <w:sz w:val="20"/>
        </w:rPr>
        <w:t>. Respiratory portfolio and India presence.</w:t>
      </w:r>
    </w:p>
    <w:p w14:paraId="5836CD14" w14:textId="77777777" w:rsidR="005A4285" w:rsidRDefault="005A4285">
      <w:pPr>
        <w:spacing w:after="160"/>
        <w:rPr>
          <w:sz w:val="20"/>
        </w:rPr>
      </w:pPr>
    </w:p>
    <w:p w14:paraId="496667CC" w14:textId="77777777" w:rsidR="005A4285" w:rsidRDefault="005A4285">
      <w:pPr>
        <w:spacing w:after="160"/>
        <w:rPr>
          <w:sz w:val="20"/>
        </w:rPr>
      </w:pPr>
    </w:p>
    <w:p w14:paraId="78A8D213" w14:textId="77777777" w:rsidR="005A4285" w:rsidRDefault="005A4285" w:rsidP="005A4285">
      <w:pPr>
        <w:pStyle w:val="NormalWeb"/>
      </w:pPr>
      <w:r>
        <w:t>Hi Harsh,</w:t>
      </w:r>
    </w:p>
    <w:p w14:paraId="7F90225A" w14:textId="77777777" w:rsidR="005A4285" w:rsidRDefault="005A4285" w:rsidP="005A4285">
      <w:pPr>
        <w:pStyle w:val="NormalWeb"/>
      </w:pPr>
      <w:r>
        <w:t>Beyond Zydus, a few potential beneficiaries:</w:t>
      </w:r>
    </w:p>
    <w:p w14:paraId="5782D5D9" w14:textId="77777777" w:rsidR="005A4285" w:rsidRDefault="005A4285" w:rsidP="005A4285">
      <w:pPr>
        <w:pStyle w:val="NormalWeb"/>
        <w:numPr>
          <w:ilvl w:val="0"/>
          <w:numId w:val="10"/>
        </w:numPr>
      </w:pPr>
      <w:r>
        <w:rPr>
          <w:rStyle w:val="Strong"/>
        </w:rPr>
        <w:t>Glenmark and Aurobindo:</w:t>
      </w:r>
      <w:r>
        <w:t xml:space="preserve"> Have US estradiol vaginal insert portfolios and could benefit from supply disruptions in vaginal estrogen products.</w:t>
      </w:r>
    </w:p>
    <w:p w14:paraId="5152C91C" w14:textId="77777777" w:rsidR="005A4285" w:rsidRDefault="005A4285" w:rsidP="005A4285">
      <w:pPr>
        <w:pStyle w:val="NormalWeb"/>
        <w:numPr>
          <w:ilvl w:val="0"/>
          <w:numId w:val="10"/>
        </w:numPr>
      </w:pPr>
      <w:r>
        <w:rPr>
          <w:rStyle w:val="Strong"/>
        </w:rPr>
        <w:t>Lupin:</w:t>
      </w:r>
      <w:r>
        <w:t xml:space="preserve"> Has exposure through oral HRT products (Amabelz), although the benefit is less direct given formulation differences.</w:t>
      </w:r>
    </w:p>
    <w:p w14:paraId="6FFA2ADC" w14:textId="77777777" w:rsidR="005A4285" w:rsidRDefault="005A4285" w:rsidP="005A4285">
      <w:pPr>
        <w:pStyle w:val="NormalWeb"/>
        <w:numPr>
          <w:ilvl w:val="0"/>
          <w:numId w:val="10"/>
        </w:numPr>
      </w:pPr>
      <w:r>
        <w:rPr>
          <w:rStyle w:val="Strong"/>
        </w:rPr>
        <w:t>Viatris and Amneal:</w:t>
      </w:r>
      <w:r>
        <w:t xml:space="preserve"> More direct US exposure through estradiol patches, with upside dependent on their ability to ramp up supply.</w:t>
      </w:r>
    </w:p>
    <w:p w14:paraId="6B4B2524" w14:textId="77777777" w:rsidR="005A4285" w:rsidRDefault="005A4285" w:rsidP="005A4285">
      <w:pPr>
        <w:pStyle w:val="NormalWeb"/>
      </w:pPr>
      <w:r>
        <w:rPr>
          <w:rStyle w:val="Strong"/>
        </w:rPr>
        <w:t>Within our coverage (GSK India, Abbott India and Pfizer Ltd), we see no meaningful direct benefit.</w:t>
      </w:r>
      <w:r>
        <w:t xml:space="preserve"> Pfizer has a global menopause portfolio, but this sits outside the India-listed entity.</w:t>
      </w:r>
    </w:p>
    <w:p w14:paraId="3CDCD395" w14:textId="77777777" w:rsidR="005A4285" w:rsidRDefault="005A4285" w:rsidP="005A4285">
      <w:pPr>
        <w:pStyle w:val="NormalWeb"/>
      </w:pPr>
      <w:r>
        <w:t>Overall, Zydus remains the clearest Indian-listed beneficiary, while upside for other players is likely contingent on available capacity and remains difficult to quantify.</w:t>
      </w:r>
    </w:p>
    <w:p w14:paraId="7EADDE8E" w14:textId="77777777" w:rsidR="005A4285" w:rsidRDefault="005A4285" w:rsidP="005A4285">
      <w:pPr>
        <w:pStyle w:val="NormalWeb"/>
      </w:pPr>
      <w:r>
        <w:t>Best,</w:t>
      </w:r>
      <w:r>
        <w:br/>
        <w:t>Shirsh</w:t>
      </w:r>
    </w:p>
    <w:p w14:paraId="6F3FEF36" w14:textId="77777777" w:rsidR="005A4285" w:rsidRDefault="005A4285">
      <w:pPr>
        <w:spacing w:after="160"/>
      </w:pPr>
    </w:p>
    <w:sectPr w:rsidR="005A4285" w:rsidSect="00034616">
      <w:footerReference w:type="default" r:id="rId20"/>
      <w:pgSz w:w="12240" w:h="15840"/>
      <w:pgMar w:top="1037" w:right="1152" w:bottom="979" w:left="1152" w:header="720"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ditorial review" w:date="2026-10-29T06:28:00Z" w:initials="ER">
    <w:p w14:paraId="66FFD798" w14:textId="77777777" w:rsidR="006E76FB" w:rsidRDefault="00000000">
      <w:r>
        <w:annotationRef/>
      </w:r>
      <w:r>
        <w:t>Before publication reconcile the deck FY26 historical columns to statutory reporting and state whether figures are standalone, consolidated or an analytical portfolio subtotal. GSK reported standalone FY26 revenue of INR37.90bn and EBITDA margin of 34.3%. Preserve the FY30 forecast only after confirming that all charts use the same revenue basis. The supplied model workbook was not among these attachments.</w:t>
      </w:r>
    </w:p>
  </w:comment>
  <w:comment w:id="1" w:author="Editorial review" w:date="2026-10-29T06:28:00Z" w:initials="ER">
    <w:p w14:paraId="7FFEBEFA" w14:textId="77777777" w:rsidR="006E76FB" w:rsidRDefault="00000000">
      <w:r>
        <w:annotationRef/>
      </w:r>
      <w:r>
        <w:t>Slide 29: the upper plot measures FEV1 difference in mL, not critical handling errors. Correct its title. These trials and the inhaler-handling study do not directly compare Trelegy with the named Indian generic products. The same-molecules comparison has an 18 mL difference with a 95% CI of -13 to 50, which crosses zero. Keep regimen evidence, device usability and Indian generic comparisons distinct.</w:t>
      </w:r>
    </w:p>
  </w:comment>
  <w:comment w:id="2" w:author="Editorial review" w:date="2026-10-29T06:28:00Z" w:initials="ER">
    <w:p w14:paraId="6AF17813" w14:textId="77777777" w:rsidR="006E76FB" w:rsidRDefault="00000000">
      <w:r>
        <w:annotationRef/>
      </w:r>
      <w:r>
        <w:t>Slide 31: management described about 800 eligible second-line patients and about 6,000 first-line patients. First-line and later-line populations may overlap over time. Label the chart as an expansion in treatment eligibility; validate the net added pool before using an additive 1L + 2L waterfall. Also reconcile the bar heights with their labels.</w:t>
      </w:r>
    </w:p>
  </w:comment>
  <w:comment w:id="3" w:author="Editorial review" w:date="2026-10-29T06:28:00Z" w:initials="ER">
    <w:p w14:paraId="4C986976" w14:textId="77777777" w:rsidR="006E76FB" w:rsidRDefault="00000000">
      <w:r>
        <w:annotationRef/>
      </w:r>
      <w:r>
        <w:t>Slide 30: change the annotation suggesting Blenrep is seeking first-line approval to a precise statement of the relevant development programme and status. Confirmed India authorisation discussed in the company releases is second-line relapsed/refractory multiple myeloma. A future first-line indication needs separate regulatory and forecast treatment.</w:t>
      </w:r>
    </w:p>
  </w:comment>
  <w:comment w:id="4" w:author="Editorial review" w:date="2026-10-29T06:28:00Z" w:initials="ER">
    <w:p w14:paraId="0E12B7C0" w14:textId="77777777" w:rsidR="006E76FB" w:rsidRDefault="00000000">
      <w:r>
        <w:annotationRef/>
      </w:r>
      <w:r>
        <w:t>The manager outline refers to about 35 products. The supplied exhibits contain no deduplicated asset/indication list or launch calendar supporting that count. The FY26 annual report refers to 26 ongoing and planned global/local clinical trials, which is a different measure and date. Keep trial count, unique molecules, indications and commercial launches separate. The report therefore bases pipeline materiality on named products and the supplied revenue bridge.</w:t>
      </w:r>
    </w:p>
  </w:comment>
  <w:comment w:id="5" w:author="Editorial review" w:date="2026-10-29T06:28:00Z" w:initials="ER">
    <w:p w14:paraId="7F1FF918" w14:textId="77777777" w:rsidR="006E76FB" w:rsidRDefault="00000000">
      <w:r>
        <w:annotationRef/>
      </w:r>
      <w:r>
        <w:t>Slide 25: reconcile the FY30 revenue bridge to the therapy total on slide 24 using source-model cells. Define the FY26 portfolio cutoff consistently and avoid counting marketed innovations again as future launches. A marketed/future-launch bridge does not quantify NI/volume/price percentage contributions. Those require the underlying product model.</w:t>
      </w:r>
    </w:p>
  </w:comment>
  <w:comment w:id="6" w:author="Editorial review" w:date="2026-10-29T06:28:00Z" w:initials="ER">
    <w:p w14:paraId="08A3FE57" w14:textId="77777777" w:rsidR="006E76FB" w:rsidRDefault="00000000">
      <w:r>
        <w:annotationRef/>
      </w:r>
      <w:r>
        <w:t>Slide 26: separate total India category sales from GSK brand sales. The left chart refers to about INR7bn of combined shingles/RSV category sales by FY30; the right chart is labelled with GSK brands and appears to total about INR5bn. State market-share assumptions and whether INR7bn denotes total FY30 sales or growth from the FY26 base. The report treats INR7bn as category sales, not GSK revenue.</w:t>
      </w:r>
    </w:p>
  </w:comment>
  <w:comment w:id="7" w:author="Editorial review" w:date="2026-10-29T06:28:00Z" w:initials="ER">
    <w:p w14:paraId="16610362" w14:textId="77777777" w:rsidR="006E76FB" w:rsidRDefault="00000000">
      <w:r>
        <w:annotationRef/>
      </w:r>
      <w:r>
        <w:t>Valuation reconciliation: INR82.6 × 39 = INR3,221.4. A target of INR3,250 implies 39.35x, or EPS of INR83.33 at exactly 39x. The report preserves the target and uses approximately 39x. Align the valuation table with the chosen exact inputs and date the INR2,485 reference price before publication.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FFD798" w15:done="0"/>
  <w15:commentEx w15:paraId="7FFEBEFA" w15:done="0"/>
  <w15:commentEx w15:paraId="6AF17813" w15:done="0"/>
  <w15:commentEx w15:paraId="4C986976" w15:done="0"/>
  <w15:commentEx w15:paraId="0E12B7C0" w15:done="0"/>
  <w15:commentEx w15:paraId="7F1FF918" w15:done="0"/>
  <w15:commentEx w15:paraId="08A3FE57" w15:done="0"/>
  <w15:commentEx w15:paraId="166103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FFD798" w16cid:durableId="59924868"/>
  <w16cid:commentId w16cid:paraId="7FFEBEFA" w16cid:durableId="21060DBD"/>
  <w16cid:commentId w16cid:paraId="6AF17813" w16cid:durableId="0DA8B2BD"/>
  <w16cid:commentId w16cid:paraId="4C986976" w16cid:durableId="46633828"/>
  <w16cid:commentId w16cid:paraId="0E12B7C0" w16cid:durableId="189C21F3"/>
  <w16cid:commentId w16cid:paraId="7F1FF918" w16cid:durableId="31B3BB55"/>
  <w16cid:commentId w16cid:paraId="08A3FE57" w16cid:durableId="30408E57"/>
  <w16cid:commentId w16cid:paraId="16610362" w16cid:durableId="5D347F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E4891" w14:textId="77777777" w:rsidR="00DC661D" w:rsidRDefault="00DC661D">
      <w:pPr>
        <w:spacing w:after="0" w:line="240" w:lineRule="auto"/>
      </w:pPr>
      <w:r>
        <w:separator/>
      </w:r>
    </w:p>
  </w:endnote>
  <w:endnote w:type="continuationSeparator" w:id="0">
    <w:p w14:paraId="011BFF62" w14:textId="77777777" w:rsidR="00DC661D" w:rsidRDefault="00DC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FE17A" w14:textId="77777777" w:rsidR="006E76FB" w:rsidRDefault="00000000">
    <w:pPr>
      <w:pStyle w:val="Footer"/>
      <w:jc w:val="right"/>
    </w:pPr>
    <w:r>
      <w:fldChar w:fldCharType="begin"/>
    </w:r>
    <w:r>
      <w:instrText>PAGE</w:instrText>
    </w:r>
    <w:r>
      <w:fldChar w:fldCharType="separate"/>
    </w:r>
    <w:r w:rsidR="005A42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04547" w14:textId="77777777" w:rsidR="00DC661D" w:rsidRDefault="00DC661D">
      <w:pPr>
        <w:spacing w:after="0" w:line="240" w:lineRule="auto"/>
      </w:pPr>
      <w:r>
        <w:separator/>
      </w:r>
    </w:p>
  </w:footnote>
  <w:footnote w:type="continuationSeparator" w:id="0">
    <w:p w14:paraId="57900AB7" w14:textId="77777777" w:rsidR="00DC661D" w:rsidRDefault="00DC6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493132"/>
    <w:multiLevelType w:val="multilevel"/>
    <w:tmpl w:val="24C8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241745">
    <w:abstractNumId w:val="8"/>
  </w:num>
  <w:num w:numId="2" w16cid:durableId="1470320136">
    <w:abstractNumId w:val="6"/>
  </w:num>
  <w:num w:numId="3" w16cid:durableId="1261063115">
    <w:abstractNumId w:val="5"/>
  </w:num>
  <w:num w:numId="4" w16cid:durableId="878786662">
    <w:abstractNumId w:val="4"/>
  </w:num>
  <w:num w:numId="5" w16cid:durableId="1417945107">
    <w:abstractNumId w:val="7"/>
  </w:num>
  <w:num w:numId="6" w16cid:durableId="1308894836">
    <w:abstractNumId w:val="3"/>
  </w:num>
  <w:num w:numId="7" w16cid:durableId="2054306147">
    <w:abstractNumId w:val="2"/>
  </w:num>
  <w:num w:numId="8" w16cid:durableId="189805784">
    <w:abstractNumId w:val="1"/>
  </w:num>
  <w:num w:numId="9" w16cid:durableId="84502970">
    <w:abstractNumId w:val="0"/>
  </w:num>
  <w:num w:numId="10" w16cid:durableId="228351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285"/>
    <w:rsid w:val="006E76FB"/>
    <w:rsid w:val="00AA1D8D"/>
    <w:rsid w:val="00B47730"/>
    <w:rsid w:val="00CB0664"/>
    <w:rsid w:val="00DC66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B8B44"/>
  <w14:defaultImageDpi w14:val="300"/>
  <w15:docId w15:val="{E328C1C8-53C1-4944-9CB1-DC799415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5A4285"/>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511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mc.ncbi.nlm.nih.gov/articles/PMC5122307/" TargetMode="External"/><Relationship Id="rId18" Type="http://schemas.openxmlformats.org/officeDocument/2006/relationships/hyperlink" Target="https://www.cipla.com/sites/default/files/Cipla-Annual-Report-FY2025-26.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ndia-pharma.gsk.com/media/asmha1vh/gsk-q1-fy27-analyst-meet-transcript.pdf" TargetMode="External"/><Relationship Id="rId17" Type="http://schemas.openxmlformats.org/officeDocument/2006/relationships/hyperlink" Target="https://india-pharma.gsk.com/media/xlqcxt14/gsk-q4fy26-analyst-meet-transcript.pdf" TargetMode="External"/><Relationship Id="rId2" Type="http://schemas.openxmlformats.org/officeDocument/2006/relationships/numbering" Target="numbering.xml"/><Relationship Id="rId16" Type="http://schemas.openxmlformats.org/officeDocument/2006/relationships/hyperlink" Target="https://www.gsk.com/en-gb/media/press-releases/dreamm-7-phase-iii-trial-shows-pfs-improvement-and-strong-os-trend-for-blenrep-combo-versus-soc-combo-in-multiple-myelom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dia-pharma.gsk.com/media/scfg3eux/annual-report-2025-26.pdf" TargetMode="External"/><Relationship Id="rId5" Type="http://schemas.openxmlformats.org/officeDocument/2006/relationships/webSettings" Target="webSettings.xml"/><Relationship Id="rId15" Type="http://schemas.openxmlformats.org/officeDocument/2006/relationships/hyperlink" Target="https://india-pharma.gsk.com/media/ukvh4pik/pr-gsk-forays-into-oncology-250825.pdf" TargetMode="External"/><Relationship Id="rId10" Type="http://schemas.microsoft.com/office/2016/09/relationships/commentsIds" Target="commentsIds.xml"/><Relationship Id="rId19" Type="http://schemas.openxmlformats.org/officeDocument/2006/relationships/hyperlink" Target="https://glenmarkpharma.com/respiratory/"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india-pharma.gsk.com/media/laujyk3a/gsk-q3fy26-analyst-meet-transcript.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2706</Words>
  <Characters>15427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GSK India Company Analysis</dc:title>
  <dc:subject>Company overview four investment debates and valuation</dc:subject>
  <dc:creator/>
  <cp:keywords/>
  <dc:description>generated by python-docx</dc:description>
  <cp:lastModifiedBy>Shirsh Sawarna</cp:lastModifiedBy>
  <cp:revision>2</cp:revision>
  <dcterms:created xsi:type="dcterms:W3CDTF">2013-12-23T23:15:00Z</dcterms:created>
  <dcterms:modified xsi:type="dcterms:W3CDTF">2026-10-29T06:42:00Z</dcterms:modified>
  <cp:category/>
</cp:coreProperties>
</file>