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3C7F" w:rsidRDefault="00000000">
      <w:pPr>
        <w:keepNext/>
        <w:spacing w:before="60"/>
      </w:pPr>
      <w:r>
        <w:rPr>
          <w:b/>
          <w:color w:val="000000"/>
          <w:sz w:val="24"/>
        </w:rPr>
        <w:t>DBMR DATA REQUIREMENT: BIOSIMILARS AND INSULIN</w:t>
      </w:r>
    </w:p>
    <w:p w:rsidR="00FC3C7F" w:rsidRDefault="00000000">
      <w:pPr>
        <w:keepNext/>
        <w:spacing w:before="120"/>
      </w:pPr>
      <w:r>
        <w:rPr>
          <w:b/>
          <w:color w:val="000000"/>
        </w:rPr>
        <w:t>1. Objective</w:t>
      </w:r>
    </w:p>
    <w:p w:rsidR="00FC3C7F" w:rsidRDefault="00000000">
      <w:r>
        <w:t>We require a bottoms-up assessment of the biosimilars and insulin markets across global markets excluding the US and India. The output should show which companies sell which molecules and brands, their sales and volumes, pricing, market share and commercial presence in each geography. The analysis will be used primarily for our work on Biocon Biologics, with Organon as an important comparator.</w:t>
      </w:r>
    </w:p>
    <w:p w:rsidR="00FC3C7F" w:rsidRDefault="00000000">
      <w:pPr>
        <w:keepNext/>
        <w:spacing w:before="120"/>
      </w:pPr>
      <w:r>
        <w:rPr>
          <w:b/>
          <w:color w:val="000000"/>
        </w:rPr>
        <w:t>2. Geographic coverage</w:t>
      </w:r>
    </w:p>
    <w:p w:rsidR="00FC3C7F" w:rsidRDefault="00000000">
      <w:pPr>
        <w:pStyle w:val="ListBullet"/>
        <w:spacing w:after="0"/>
      </w:pPr>
      <w:r>
        <w:t>EU-5: Germany, France, Italy, Spain and the UK, with country-level data and an EU-5 total.</w:t>
      </w:r>
    </w:p>
    <w:p w:rsidR="00FC3C7F" w:rsidRDefault="00000000">
      <w:pPr>
        <w:pStyle w:val="ListBullet"/>
        <w:spacing w:after="0"/>
      </w:pPr>
      <w:r>
        <w:t>Latin America, with data split by major country and a regional total.</w:t>
      </w:r>
    </w:p>
    <w:p w:rsidR="00FC3C7F" w:rsidRDefault="00000000">
      <w:pPr>
        <w:pStyle w:val="ListBullet"/>
        <w:spacing w:after="0"/>
      </w:pPr>
      <w:r>
        <w:t>China as a separate market.</w:t>
      </w:r>
    </w:p>
    <w:p w:rsidR="00FC3C7F" w:rsidRDefault="00000000">
      <w:pPr>
        <w:pStyle w:val="ListBullet"/>
        <w:spacing w:after="0"/>
      </w:pPr>
      <w:r>
        <w:t>Southeast Asia, with data split by major country and a regional total.</w:t>
      </w:r>
    </w:p>
    <w:p w:rsidR="00FC3C7F" w:rsidRDefault="00000000">
      <w:pPr>
        <w:pStyle w:val="ListBullet"/>
        <w:spacing w:after="0"/>
      </w:pPr>
      <w:r>
        <w:t>MENA, with data split by major country and a regional total.</w:t>
      </w:r>
    </w:p>
    <w:p w:rsidR="00FC3C7F" w:rsidRDefault="00000000">
      <w:pPr>
        <w:pStyle w:val="ListBullet"/>
        <w:spacing w:after="0"/>
      </w:pPr>
      <w:r>
        <w:t>Other covered markets outside the US and India, where company- and product-level data are available.</w:t>
      </w:r>
    </w:p>
    <w:p w:rsidR="00FC3C7F" w:rsidRDefault="00000000">
      <w:r>
        <w:t>China, Southeast Asia and MENA should be reported separately and should not be combined within one Asia or EMU number.</w:t>
      </w:r>
    </w:p>
    <w:p w:rsidR="00FC3C7F" w:rsidRDefault="00000000">
      <w:pPr>
        <w:keepNext/>
        <w:spacing w:before="120"/>
      </w:pPr>
      <w:r>
        <w:rPr>
          <w:b/>
          <w:color w:val="000000"/>
        </w:rPr>
        <w:t>3. Biosimilars</w:t>
      </w:r>
    </w:p>
    <w:p w:rsidR="00FC3C7F" w:rsidRDefault="00000000">
      <w:pPr>
        <w:keepNext/>
        <w:spacing w:before="60"/>
      </w:pPr>
      <w:r>
        <w:rPr>
          <w:b/>
          <w:color w:val="000000"/>
        </w:rPr>
        <w:t>3.1 Company and market landscape</w:t>
      </w:r>
    </w:p>
    <w:p w:rsidR="00FC3C7F" w:rsidRDefault="00000000">
      <w:pPr>
        <w:pStyle w:val="ListBullet"/>
        <w:spacing w:after="0"/>
      </w:pPr>
      <w:r>
        <w:t>Top 10 biosimilar companies in each region and major country, ranked by biosimilar sales.</w:t>
      </w:r>
    </w:p>
    <w:p w:rsidR="00FC3C7F" w:rsidRDefault="00000000">
      <w:pPr>
        <w:pStyle w:val="ListBullet"/>
        <w:spacing w:after="0"/>
      </w:pPr>
      <w:r>
        <w:t>For each company: total biosimilar sales, sales growth, value market share, volume market share and number of marketed biosimilar products.</w:t>
      </w:r>
    </w:p>
    <w:p w:rsidR="00FC3C7F" w:rsidRDefault="00000000">
      <w:pPr>
        <w:pStyle w:val="ListBullet"/>
        <w:spacing w:after="0"/>
      </w:pPr>
      <w:r>
        <w:t>Mandatory company coverage for Sandoz, Celltrion, Biocon Biologics, Amgen, Teva and Organon, irrespective of rank in a particular market.</w:t>
      </w:r>
    </w:p>
    <w:p w:rsidR="00FC3C7F" w:rsidRDefault="00000000">
      <w:pPr>
        <w:pStyle w:val="ListBullet"/>
        <w:spacing w:after="0"/>
      </w:pPr>
      <w:r>
        <w:t>The remaining companies should be selected based on sales in each region so that relevant local and regional competitors are included.</w:t>
      </w:r>
    </w:p>
    <w:p w:rsidR="00FC3C7F" w:rsidRDefault="00000000">
      <w:pPr>
        <w:keepNext/>
        <w:spacing w:before="60"/>
      </w:pPr>
      <w:r>
        <w:rPr>
          <w:b/>
          <w:color w:val="000000"/>
        </w:rPr>
        <w:t>3.2 Molecule and product-level data</w:t>
      </w:r>
    </w:p>
    <w:p w:rsidR="00FC3C7F" w:rsidRDefault="00000000">
      <w:pPr>
        <w:pStyle w:val="ListBullet"/>
        <w:spacing w:after="0"/>
      </w:pPr>
      <w:r>
        <w:t>For every company, provide all marketed biosimilar molecules and brands by country.</w:t>
      </w:r>
    </w:p>
    <w:p w:rsidR="00FC3C7F" w:rsidRDefault="00000000">
      <w:pPr>
        <w:pStyle w:val="ListBullet"/>
        <w:spacing w:after="0"/>
      </w:pPr>
      <w:r>
        <w:t>For every product, provide the biosimilar brand, INN/molecule, reference or originator product, therapeutic area, indication, strength, dosage form, presentation, approval date and launch date.</w:t>
      </w:r>
    </w:p>
    <w:p w:rsidR="00FC3C7F" w:rsidRDefault="00000000">
      <w:pPr>
        <w:pStyle w:val="ListBullet"/>
        <w:spacing w:after="0"/>
      </w:pPr>
      <w:r>
        <w:t>Identify the product developer, manufacturer, marketing authorization holder, commercial partner and distributor separately, where relevant.</w:t>
      </w:r>
    </w:p>
    <w:p w:rsidR="00FC3C7F" w:rsidRDefault="00000000">
      <w:pPr>
        <w:pStyle w:val="ListBullet"/>
        <w:spacing w:after="0"/>
      </w:pPr>
      <w:r>
        <w:t>Provide a country-by-molecule map showing which companies and brands are marketed, approved but not launched, or filed.</w:t>
      </w:r>
    </w:p>
    <w:p w:rsidR="00FC3C7F" w:rsidRDefault="00000000">
      <w:pPr>
        <w:pStyle w:val="ListBullet"/>
        <w:spacing w:after="0"/>
      </w:pPr>
      <w:r>
        <w:t>For selected originator molecules, provide a detailed comparison of the originator and biosimilars across sales, volumes, pricing, market share and share movement. The final originator molecules will be selected by us after reviewing the available universe.</w:t>
      </w:r>
    </w:p>
    <w:p w:rsidR="00FC3C7F" w:rsidRDefault="00000000">
      <w:pPr>
        <w:keepNext/>
        <w:spacing w:before="60"/>
      </w:pPr>
      <w:r>
        <w:rPr>
          <w:b/>
          <w:color w:val="000000"/>
        </w:rPr>
        <w:t>3.3 Monthly sales, shipments and volumes</w:t>
      </w:r>
    </w:p>
    <w:p w:rsidR="00FC3C7F" w:rsidRDefault="00000000">
      <w:pPr>
        <w:pStyle w:val="ListBullet"/>
        <w:spacing w:after="0"/>
      </w:pPr>
      <w:r>
        <w:t>Product-wise monthly biosimilar shipments for the latest 12 months for Sandoz, Celltrion, Biocon Biologics, Amgen, Teva and Organon across the covered geographies.</w:t>
      </w:r>
    </w:p>
    <w:p w:rsidR="00FC3C7F" w:rsidRDefault="00000000">
      <w:pPr>
        <w:pStyle w:val="ListBullet"/>
        <w:spacing w:after="0"/>
      </w:pPr>
      <w:r>
        <w:t>Monthly sales value in local currency and US dollars for each company, molecule, brand and country.</w:t>
      </w:r>
    </w:p>
    <w:p w:rsidR="00FC3C7F" w:rsidRDefault="00000000">
      <w:pPr>
        <w:pStyle w:val="ListBullet"/>
        <w:spacing w:after="0"/>
      </w:pPr>
      <w:r>
        <w:t>Monthly volume in packs and physical units such as vials, syringes or pens, with a standardized volume measure that permits comparison across brands and pack sizes.</w:t>
      </w:r>
    </w:p>
    <w:p w:rsidR="00FC3C7F" w:rsidRDefault="00000000">
      <w:pPr>
        <w:pStyle w:val="ListBullet"/>
        <w:spacing w:after="0"/>
      </w:pPr>
      <w:r>
        <w:t>Month-on-month, quarter-on-quarter and year-on-year growth in sales value and volume. Include the corresponding prior-year period required to calculate year-on-year growth.</w:t>
      </w:r>
    </w:p>
    <w:p w:rsidR="00FC3C7F" w:rsidRDefault="00000000">
      <w:pPr>
        <w:pStyle w:val="ListBullet"/>
        <w:spacing w:after="0"/>
      </w:pPr>
      <w:r>
        <w:t>Company, molecule and brand market share by value and volume.</w:t>
      </w:r>
    </w:p>
    <w:p w:rsidR="00FC3C7F" w:rsidRDefault="00000000">
      <w:pPr>
        <w:pStyle w:val="ListBullet"/>
        <w:spacing w:after="0"/>
      </w:pPr>
      <w:r>
        <w:t>Biosimilar penetration for each molecule, calculated as biosimilar value and volume divided by the total originator plus biosimilar molecule market.</w:t>
      </w:r>
    </w:p>
    <w:p w:rsidR="00FC3C7F" w:rsidRDefault="00000000">
      <w:pPr>
        <w:keepNext/>
        <w:spacing w:before="60"/>
      </w:pPr>
      <w:r>
        <w:rPr>
          <w:b/>
          <w:color w:val="000000"/>
        </w:rPr>
        <w:t>3.4 Pricing</w:t>
      </w:r>
    </w:p>
    <w:p w:rsidR="00FC3C7F" w:rsidRDefault="00000000">
      <w:pPr>
        <w:pStyle w:val="ListBullet"/>
        <w:spacing w:after="0"/>
      </w:pPr>
      <w:r>
        <w:t>Product-level pricing by company, brand, SKU and country.</w:t>
      </w:r>
    </w:p>
    <w:p w:rsidR="00FC3C7F" w:rsidRDefault="00000000">
      <w:pPr>
        <w:pStyle w:val="ListBullet"/>
        <w:spacing w:after="0"/>
      </w:pPr>
      <w:r>
        <w:t>Provide list price, ex-factory or invoice price, tender price and estimated realized price wherever available. Each price should be clearly labelled by type.</w:t>
      </w:r>
    </w:p>
    <w:p w:rsidR="00FC3C7F" w:rsidRDefault="00000000">
      <w:pPr>
        <w:pStyle w:val="ListBullet"/>
        <w:spacing w:after="0"/>
      </w:pPr>
      <w:r>
        <w:t>Current biosimilar discount to the originator product and the discount at launch.</w:t>
      </w:r>
    </w:p>
    <w:p w:rsidR="00FC3C7F" w:rsidRDefault="00000000">
      <w:pPr>
        <w:pStyle w:val="ListBullet"/>
        <w:spacing w:after="0"/>
      </w:pPr>
      <w:r>
        <w:t>Monthly or quarterly price movement over the available period.</w:t>
      </w:r>
    </w:p>
    <w:p w:rsidR="00FC3C7F" w:rsidRDefault="00000000">
      <w:pPr>
        <w:pStyle w:val="ListBullet"/>
        <w:spacing w:after="0"/>
      </w:pPr>
      <w:r>
        <w:t>Public tender details, including purchaser, winning company and brand, tender price, awarded volume and contract period, where available.</w:t>
      </w:r>
    </w:p>
    <w:p w:rsidR="00FC3C7F" w:rsidRDefault="00000000">
      <w:pPr>
        <w:keepNext/>
        <w:spacing w:before="60"/>
      </w:pPr>
      <w:r>
        <w:rPr>
          <w:b/>
          <w:color w:val="000000"/>
        </w:rPr>
        <w:lastRenderedPageBreak/>
        <w:t>3.5 Commercial presence</w:t>
      </w:r>
    </w:p>
    <w:p w:rsidR="00FC3C7F" w:rsidRDefault="00000000">
      <w:r>
        <w:t>For the top two biosimilar companies in each region, and for Biocon and Organon irrespective of rank, provide:</w:t>
      </w:r>
    </w:p>
    <w:p w:rsidR="00FC3C7F" w:rsidRDefault="00000000">
      <w:pPr>
        <w:pStyle w:val="ListBullet"/>
        <w:spacing w:after="0"/>
      </w:pPr>
      <w:r>
        <w:t>Field force size by country or region, including whether the field force is dedicated to biosimilars or shared with other products.</w:t>
      </w:r>
    </w:p>
    <w:p w:rsidR="00FC3C7F" w:rsidRDefault="00000000">
      <w:pPr>
        <w:pStyle w:val="ListBullet"/>
        <w:spacing w:after="0"/>
      </w:pPr>
      <w:r>
        <w:t>Number of distributors or wholesalers used.</w:t>
      </w:r>
    </w:p>
    <w:p w:rsidR="00FC3C7F" w:rsidRDefault="00000000">
      <w:pPr>
        <w:pStyle w:val="ListBullet"/>
        <w:spacing w:after="0"/>
      </w:pPr>
      <w:r>
        <w:t>Names of the top three distributors and the markets or products handled by each distributor.</w:t>
      </w:r>
    </w:p>
    <w:p w:rsidR="00FC3C7F" w:rsidRDefault="00000000">
      <w:pPr>
        <w:pStyle w:val="ListBullet"/>
        <w:spacing w:after="0"/>
      </w:pPr>
      <w:r>
        <w:t>Direct commercial model versus partner-led model, including the local commercial or marketing partner.</w:t>
      </w:r>
    </w:p>
    <w:p w:rsidR="00FC3C7F" w:rsidRDefault="00000000">
      <w:pPr>
        <w:keepNext/>
        <w:spacing w:before="120"/>
      </w:pPr>
      <w:r>
        <w:rPr>
          <w:b/>
          <w:color w:val="000000"/>
        </w:rPr>
        <w:t>4. Insulin</w:t>
      </w:r>
    </w:p>
    <w:p w:rsidR="00FC3C7F" w:rsidRDefault="00000000">
      <w:pPr>
        <w:keepNext/>
        <w:spacing w:before="60"/>
      </w:pPr>
      <w:r>
        <w:rPr>
          <w:b/>
          <w:color w:val="000000"/>
        </w:rPr>
        <w:t>4.1 Company and product landscape</w:t>
      </w:r>
    </w:p>
    <w:p w:rsidR="00FC3C7F" w:rsidRDefault="00000000">
      <w:pPr>
        <w:pStyle w:val="ListBullet"/>
        <w:spacing w:after="0"/>
      </w:pPr>
      <w:r>
        <w:t>All companies selling insulin in each covered region and major country, ranked by insulin sales.</w:t>
      </w:r>
    </w:p>
    <w:p w:rsidR="00FC3C7F" w:rsidRDefault="00000000">
      <w:pPr>
        <w:pStyle w:val="ListBullet"/>
        <w:spacing w:after="0"/>
      </w:pPr>
      <w:r>
        <w:t>Mandatory coverage for Biocon Biologics, Novo Nordisk, Eli Lilly and Sanofi, together with relevant local and regional manufacturers.</w:t>
      </w:r>
    </w:p>
    <w:p w:rsidR="00FC3C7F" w:rsidRDefault="00000000">
      <w:pPr>
        <w:pStyle w:val="ListBullet"/>
        <w:spacing w:after="0"/>
      </w:pPr>
      <w:r>
        <w:t>For every product, provide company, brand, molecule, human insulin or analogue classification, basal/prandial/premix category, strength, formulation, presentation and device type.</w:t>
      </w:r>
    </w:p>
    <w:p w:rsidR="00FC3C7F" w:rsidRDefault="00000000">
      <w:pPr>
        <w:pStyle w:val="ListBullet"/>
        <w:spacing w:after="0"/>
      </w:pPr>
      <w:r>
        <w:t>Vials, cartridges, reusable-pen cartridges and disposable pens should be reported separately.</w:t>
      </w:r>
    </w:p>
    <w:p w:rsidR="00FC3C7F" w:rsidRDefault="00000000">
      <w:pPr>
        <w:pStyle w:val="ListBullet"/>
        <w:spacing w:after="0"/>
      </w:pPr>
      <w:r>
        <w:t>Approval date, launch date, manufacturer, marketing authorization holder, commercial partner and distributor by country.</w:t>
      </w:r>
    </w:p>
    <w:p w:rsidR="00FC3C7F" w:rsidRDefault="00000000">
      <w:pPr>
        <w:keepNext/>
        <w:spacing w:before="60"/>
      </w:pPr>
      <w:r>
        <w:rPr>
          <w:b/>
          <w:color w:val="000000"/>
        </w:rPr>
        <w:t>4.2 Sales, volumes, share and pricing</w:t>
      </w:r>
    </w:p>
    <w:p w:rsidR="00FC3C7F" w:rsidRDefault="00000000">
      <w:pPr>
        <w:pStyle w:val="ListBullet"/>
        <w:spacing w:after="0"/>
      </w:pPr>
      <w:r>
        <w:t>Monthly sales value and volume for the latest 12 months by company, product and country.</w:t>
      </w:r>
    </w:p>
    <w:p w:rsidR="00FC3C7F" w:rsidRDefault="00000000">
      <w:pPr>
        <w:pStyle w:val="ListBullet"/>
        <w:spacing w:after="0"/>
      </w:pPr>
      <w:r>
        <w:t>Volume in packs, devices and insulin units or IU, with the conversion methodology provided.</w:t>
      </w:r>
    </w:p>
    <w:p w:rsidR="00FC3C7F" w:rsidRDefault="00000000">
      <w:pPr>
        <w:pStyle w:val="ListBullet"/>
        <w:spacing w:after="0"/>
      </w:pPr>
      <w:r>
        <w:t>Month-on-month, quarter-on-quarter and year-on-year sales and volume growth.</w:t>
      </w:r>
    </w:p>
    <w:p w:rsidR="00FC3C7F" w:rsidRDefault="00000000">
      <w:pPr>
        <w:pStyle w:val="ListBullet"/>
        <w:spacing w:after="0"/>
      </w:pPr>
      <w:r>
        <w:t>Company and product market share by value and volume, including share within human insulin, basal, prandial and premix categories.</w:t>
      </w:r>
    </w:p>
    <w:p w:rsidR="00FC3C7F" w:rsidRDefault="00000000">
      <w:pPr>
        <w:pStyle w:val="ListBullet"/>
        <w:spacing w:after="0"/>
      </w:pPr>
      <w:r>
        <w:t>Product- and presentation-level prices by company and country, including list, invoice, tender, reimbursed and estimated realized prices where available.</w:t>
      </w:r>
    </w:p>
    <w:p w:rsidR="00FC3C7F" w:rsidRDefault="00000000">
      <w:pPr>
        <w:pStyle w:val="ListBullet"/>
        <w:spacing w:after="0"/>
      </w:pPr>
      <w:r>
        <w:t>Public tender, hospital, retail pharmacy and private-market sales mix.</w:t>
      </w:r>
    </w:p>
    <w:p w:rsidR="00FC3C7F" w:rsidRDefault="00000000">
      <w:pPr>
        <w:pStyle w:val="ListBullet"/>
        <w:spacing w:after="0"/>
      </w:pPr>
      <w:r>
        <w:t>Major tender awards, including purchaser, winning company and product, price, volume and contract period.</w:t>
      </w:r>
    </w:p>
    <w:p w:rsidR="00FC3C7F" w:rsidRDefault="00000000">
      <w:pPr>
        <w:keepNext/>
        <w:spacing w:before="120"/>
      </w:pPr>
      <w:r>
        <w:rPr>
          <w:b/>
          <w:color w:val="000000"/>
        </w:rPr>
        <w:t>5. Required output</w:t>
      </w:r>
    </w:p>
    <w:p w:rsidR="00FC3C7F" w:rsidRDefault="00000000">
      <w:pPr>
        <w:pStyle w:val="ListBullet"/>
        <w:spacing w:after="0"/>
      </w:pPr>
      <w:r>
        <w:t>A raw Excel database at country, month, company, molecule, brand and SKU level.</w:t>
      </w:r>
    </w:p>
    <w:p w:rsidR="00FC3C7F" w:rsidRDefault="00000000">
      <w:pPr>
        <w:pStyle w:val="ListBullet"/>
        <w:spacing w:after="0"/>
      </w:pPr>
      <w:r>
        <w:t>Separate biosimilars and insulin files, with regional summary tabs.</w:t>
      </w:r>
    </w:p>
    <w:p w:rsidR="00FC3C7F" w:rsidRDefault="00000000">
      <w:pPr>
        <w:pStyle w:val="ListBullet"/>
        <w:spacing w:after="0"/>
      </w:pPr>
      <w:r>
        <w:t>Company rankings, molecule-level market maps and monthly trend analysis for sales, volume, pricing and market share.</w:t>
      </w:r>
    </w:p>
    <w:p w:rsidR="00FC3C7F" w:rsidRDefault="00000000">
      <w:pPr>
        <w:pStyle w:val="ListBullet"/>
        <w:spacing w:after="0"/>
      </w:pPr>
      <w:r>
        <w:t>A summary report covering the top companies, products, pricing trends, market-share movement and key country-level findings.</w:t>
      </w:r>
    </w:p>
    <w:p w:rsidR="00FC3C7F" w:rsidRDefault="00000000">
      <w:pPr>
        <w:pStyle w:val="ListBullet"/>
        <w:spacing w:after="0"/>
      </w:pPr>
      <w:r>
        <w:t>All data should be sourced from Nucleus and other validated sources as applicable. The source and extraction date should be provided for every data series.</w:t>
      </w:r>
    </w:p>
    <w:p w:rsidR="00FC3C7F" w:rsidRDefault="00000000">
      <w:pPr>
        <w:pStyle w:val="ListBullet"/>
        <w:spacing w:after="0"/>
      </w:pPr>
      <w:r>
        <w:t>Reported data and DBMR estimates should be clearly separated. The estimation method should be provided wherever actual data are unavailable.</w:t>
      </w:r>
    </w:p>
    <w:p w:rsidR="00FC3C7F" w:rsidRDefault="00000000">
      <w:pPr>
        <w:pStyle w:val="ListBullet"/>
        <w:spacing w:after="0"/>
      </w:pPr>
      <w:r>
        <w:t>Sales data should be identified as company-reported sales, distributor shipments, channel sell-in, channel sell-out or tender value. These measures should not be combined without explanation.</w:t>
      </w:r>
    </w:p>
    <w:p w:rsidR="00FC3C7F" w:rsidRDefault="00000000">
      <w:pPr>
        <w:pStyle w:val="ListBullet"/>
        <w:spacing w:after="0"/>
      </w:pPr>
      <w:r>
        <w:t>Local-currency data should be retained and converted into US dollars using a stated exchange rate.</w:t>
      </w:r>
    </w:p>
    <w:p w:rsidR="00FC3C7F" w:rsidRDefault="00000000">
      <w:pPr>
        <w:pStyle w:val="ListBullet"/>
        <w:spacing w:after="0"/>
      </w:pPr>
      <w:r>
        <w:t>Missing data should be shown as not available and should not be treated as zero.</w:t>
      </w:r>
    </w:p>
    <w:p w:rsidR="00FC3C7F" w:rsidRDefault="00000000">
      <w:pPr>
        <w:keepNext/>
        <w:spacing w:before="120"/>
      </w:pPr>
      <w:r>
        <w:rPr>
          <w:b/>
          <w:color w:val="000000"/>
        </w:rPr>
        <w:t>6. Delivery timeline</w:t>
      </w:r>
    </w:p>
    <w:p w:rsidR="00FC3C7F" w:rsidRDefault="00000000">
      <w:r>
        <w:t>Final delivery required by 21 September 2026.</w:t>
      </w:r>
    </w:p>
    <w:p w:rsidR="00014AE7" w:rsidRDefault="00014AE7"/>
    <w:p w:rsidR="00014AE7" w:rsidRDefault="00014AE7"/>
    <w:p w:rsidR="00014AE7" w:rsidRDefault="00014AE7" w:rsidP="00014AE7">
      <w:pPr>
        <w:pStyle w:val="NormalWeb"/>
      </w:pPr>
      <w:r>
        <w:t>Hi [Name],</w:t>
      </w:r>
    </w:p>
    <w:p w:rsidR="00014AE7" w:rsidRDefault="00014AE7" w:rsidP="00014AE7">
      <w:pPr>
        <w:pStyle w:val="NormalWeb"/>
      </w:pPr>
      <w:r>
        <w:t>Please find attached the detailed scope of work for our biosimilars and insulin analysis across EU-5, Latin America, China, Southeast Asia and MENA.</w:t>
      </w:r>
    </w:p>
    <w:p w:rsidR="00014AE7" w:rsidRDefault="00014AE7" w:rsidP="00014AE7">
      <w:pPr>
        <w:pStyle w:val="NormalWeb"/>
      </w:pPr>
      <w:r>
        <w:t>We require company-, molecule- and product-level data covering the top biosimilar companies, market shares, pricing, sales volumes, field-force size and distributor networks. The scope also includes product-</w:t>
      </w:r>
      <w:r>
        <w:lastRenderedPageBreak/>
        <w:t xml:space="preserve">wise monthly shipments for the last 12 months for Sandoz, </w:t>
      </w:r>
      <w:proofErr w:type="spellStart"/>
      <w:r>
        <w:t>Celltrion</w:t>
      </w:r>
      <w:proofErr w:type="spellEnd"/>
      <w:r>
        <w:t>, Biocon Biologics, Amgen, Teva and Organon, along with detailed insulin data by company, product and market.</w:t>
      </w:r>
    </w:p>
    <w:p w:rsidR="00014AE7" w:rsidRDefault="00014AE7" w:rsidP="00014AE7">
      <w:pPr>
        <w:pStyle w:val="NormalWeb"/>
      </w:pPr>
      <w:r>
        <w:t>Please review the attached requirements and let us know if any clarification is required. We would need the final deliverables by 21 September 2026.</w:t>
      </w:r>
    </w:p>
    <w:p w:rsidR="00014AE7" w:rsidRDefault="00014AE7" w:rsidP="00014AE7">
      <w:pPr>
        <w:pStyle w:val="NormalWeb"/>
      </w:pPr>
      <w:r>
        <w:t>Thanks,</w:t>
      </w:r>
      <w:r>
        <w:br/>
      </w:r>
      <w:proofErr w:type="spellStart"/>
      <w:r>
        <w:t>Shirsh</w:t>
      </w:r>
      <w:proofErr w:type="spellEnd"/>
    </w:p>
    <w:p w:rsidR="00014AE7" w:rsidRDefault="00014AE7"/>
    <w:sectPr w:rsidR="00014AE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1677444">
    <w:abstractNumId w:val="8"/>
  </w:num>
  <w:num w:numId="2" w16cid:durableId="2008701860">
    <w:abstractNumId w:val="6"/>
  </w:num>
  <w:num w:numId="3" w16cid:durableId="908075805">
    <w:abstractNumId w:val="5"/>
  </w:num>
  <w:num w:numId="4" w16cid:durableId="857425594">
    <w:abstractNumId w:val="4"/>
  </w:num>
  <w:num w:numId="5" w16cid:durableId="253517151">
    <w:abstractNumId w:val="7"/>
  </w:num>
  <w:num w:numId="6" w16cid:durableId="2009597659">
    <w:abstractNumId w:val="3"/>
  </w:num>
  <w:num w:numId="7" w16cid:durableId="747456769">
    <w:abstractNumId w:val="2"/>
  </w:num>
  <w:num w:numId="8" w16cid:durableId="482350531">
    <w:abstractNumId w:val="1"/>
  </w:num>
  <w:num w:numId="9" w16cid:durableId="251470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AE7"/>
    <w:rsid w:val="00034616"/>
    <w:rsid w:val="0006063C"/>
    <w:rsid w:val="0015074B"/>
    <w:rsid w:val="0029639D"/>
    <w:rsid w:val="00326F90"/>
    <w:rsid w:val="00AA1D8D"/>
    <w:rsid w:val="00B47730"/>
    <w:rsid w:val="00CB0664"/>
    <w:rsid w:val="00FC3C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489237"/>
  <w14:defaultImageDpi w14:val="300"/>
  <w15:docId w15:val="{6AA97E34-21D3-0F46-9B77-0BB304330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14AE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05925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1128</Words>
  <Characters>6434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DBMR Data Requirement - Biosimilars and Insulin</dc:title>
  <dc:subject>Global ex-US and ex-India company, molecule and product-level data request</dc:subject>
  <dc:creator>Healthcare Research</dc:creator>
  <cp:keywords/>
  <dc:description>generated by python-docx</dc:description>
  <cp:lastModifiedBy>Shirsh Sawarna</cp:lastModifiedBy>
  <cp:revision>2</cp:revision>
  <dcterms:created xsi:type="dcterms:W3CDTF">2013-12-23T23:15:00Z</dcterms:created>
  <dcterms:modified xsi:type="dcterms:W3CDTF">2026-09-10T17:29:00Z</dcterms:modified>
  <cp:category/>
</cp:coreProperties>
</file>