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>Yes. I would now lock the slide like this. The main correction is to make the taxonomy internally consistent and give every route/device exactly the “what, where, why” that your manager asked for.</w:t>
      </w:r>
    </w:p>
    <w:p w:rsidR="0033372D" w:rsidRPr="0033372D" w:rsidRDefault="0033372D" w:rsidP="00333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Taxonomy of non-oral drug delivery routes and device-enabled modalities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I would remove “Peritoneal” and “Suppositories” from the current title because they are not actually covered in the exhibit. Also, I would replace “Newer modalities” with </w:t>
      </w: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“Device-enabled / alternative modalities”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 because pulmonary delivery and pumps are not genuinely new technologies.</w:t>
      </w:r>
    </w:p>
    <w:p w:rsidR="0033372D" w:rsidRPr="0033372D" w:rsidRDefault="0033372D" w:rsidP="00333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 BOX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Parenteral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Into a vein, providing immediate systemic drug exposure. Used where rapid onset, precise dosing or continuous infusion is required.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Into skeletal muscle, enabling rapid absorption or sustained depot release. Commonly used for vaccines and long-acting injectables.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Into tissue beneath the skin, typically with slower absorption than IV/IM. Well suited to self-administration of biologics and insulin.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Into the dermal layer of the skin, generally in small volumes. Used primarily for select vaccines and diagnostic testing.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FDA formally defines IV, IM, SC and ID as distinct administration routes. 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Neuraxial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Epidural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Into the epidural space outside the dura surrounding the spinal cord. Primarily used for regional anesthesia and pain management.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Intrathecal / spinal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Directly into cerebrospinal fluid around the brain or spinal cord. Enables highly targeted CNS delivery at relatively low doses.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should definitely be two sub-bullets under </w:t>
      </w: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Neuraxial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, exactly analogous to IV/IM/SC/ID under Parenteral. FDA separately defines epidural administration as over/outside the dura and intrathecal administration as within cerebrospinal fluid. </w:t>
      </w:r>
    </w:p>
    <w:p w:rsidR="0033372D" w:rsidRPr="0033372D" w:rsidRDefault="0033372D" w:rsidP="00333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 BOX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Device-enabled / alternative modalities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Pulmonary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Drug inhaled into the respiratory tract through an inhaler or nebulizer. Enables direct lung delivery for local or systemic treatment.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Intranasal / nose-to-brain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Drug delivered into the nasal cavity through sprays or other devices. Enables rapid nasal absorption, with nose-to-brain delivery an emerging approach for CNS targeting.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FDA recognizes both respiratory inhalation and nasal administration as distinct routes. 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Pumps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External or implantable devices that deliver drugs in controlled amounts over time. Used where continuous or precisely programmed dosing is required.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FDA defines infusion pumps as devices that deliver medications or other fluids into the body in controlled amounts. 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On-body injectors (OBI)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Wearable devices attached to the body that deliver drug from an integrated reservoir, typically subcutaneously. Enable convenient, hands-free administration outside the clinic.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FDA describes OBIs as drug-delivery devices worn directly on the body and incorporating a reservoir or cartridge. 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Implantable drug delivery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br/>
        <w:t>Drug reservoir or pump implanted inside the body, often connected to a target site through a catheter. Enables long-term, controlled or localized delivery.</w:t>
      </w:r>
    </w:p>
    <w:p w:rsidR="0033372D" w:rsidRPr="0033372D" w:rsidRDefault="0033372D" w:rsidP="00333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 would physically lay it out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 write huge paragraphs. Your slide should visually read: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580"/>
      </w:tblGrid>
      <w:tr w:rsidR="0033372D" w:rsidRPr="0033372D" w:rsidTr="0033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Established routes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Device-enabled / alternative modalities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(1) Parenteral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(3) Device-enabled / alternative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Vein; immediate systemic delivery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Pulmonary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Lungs; inhaled local/systemic delivery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IM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Muscle; rapid/depot delivery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Intranasal / nose-brain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Nasal cavity; rapid/emerging CNS delivery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Beneath skin; slower/self-administered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Pumps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Controlled/continuous dosing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Dermis; small-volume delivery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OBI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Wearable, typically SC delivery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(2) Neuraxial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Implantable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Long-term controlled/localized delivery</w:t>
            </w: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Epidural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Outside dura; anesthesia/pain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3372D" w:rsidRPr="0033372D" w:rsidTr="0033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Intrathecal</w:t>
            </w:r>
            <w:r w:rsidRPr="0033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Into CSF; targeted CNS delivery</w:t>
            </w:r>
          </w:p>
        </w:tc>
        <w:tc>
          <w:tcPr>
            <w:tcW w:w="0" w:type="auto"/>
            <w:vAlign w:val="center"/>
            <w:hideMark/>
          </w:tcPr>
          <w:p w:rsidR="0033372D" w:rsidRPr="0033372D" w:rsidRDefault="0033372D" w:rsidP="003337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For the actual PPT, </w:t>
      </w: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would use the shorter one-line versions in this table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t>, not all of the longer two-sentence definitions. They satisfy your manager's “what, why, where” requirement while keeping the slide readable.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>Bottom source: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 FDA, peer-reviewed literature, Bernstein analysis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One final structural point: </w:t>
      </w:r>
      <w:r w:rsidRPr="0033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OBI from Implantable</w:t>
      </w:r>
      <w:r w:rsidRPr="0033372D">
        <w:rPr>
          <w:rFonts w:ascii="Times New Roman" w:eastAsia="Times New Roman" w:hAnsi="Times New Roman" w:cs="Times New Roman"/>
          <w:kern w:val="0"/>
          <w14:ligatures w14:val="none"/>
        </w:rPr>
        <w:t xml:space="preserve">. They are sufficiently different that writing “Implantable / On-body Injectors” as one bullet is technically misleading. OBI is worn externally; an implantable device is placed inside the body. </w:t>
      </w:r>
    </w:p>
    <w:p w:rsidR="0033372D" w:rsidRPr="0033372D" w:rsidRDefault="0033372D" w:rsidP="00333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2D">
        <w:rPr>
          <w:rFonts w:ascii="Times New Roman" w:eastAsia="Times New Roman" w:hAnsi="Times New Roman" w:cs="Times New Roman"/>
          <w:kern w:val="0"/>
          <w14:ligatures w14:val="none"/>
        </w:rPr>
        <w:t>This is the version I would send back to your manager.</w:t>
      </w:r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2D"/>
    <w:rsid w:val="0033372D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751DC8-5A6E-1C46-A53D-4E817280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37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72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dq2pgselectionanchorcontainer">
    <w:name w:val="pdq2pg_selectionanchorcontainer"/>
    <w:basedOn w:val="Normal"/>
    <w:rsid w:val="003337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2026-08-18T09:03:00Z</dcterms:created>
  <dcterms:modified xsi:type="dcterms:W3CDTF">2026-08-18T09:03:00Z</dcterms:modified>
</cp:coreProperties>
</file>