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MNC initiation slide copy</w:t>
      </w:r>
    </w:p>
    <w:p>
      <w:pPr>
        <w:spacing w:after="400"/>
      </w:pPr>
      <w:r>
        <w:rPr>
          <w:sz w:val="20"/>
        </w:rPr>
        <w:t>Slide titles and main bullets for the industry, GSK, Pfizer and Abbott sections.</w:t>
      </w:r>
    </w:p>
    <w:p>
      <w:pPr>
        <w:pStyle w:val="Heading1"/>
      </w:pPr>
      <w:r>
        <w:t>Slide 1 India market growth</w:t>
      </w:r>
    </w:p>
    <w:p>
      <w:pPr>
        <w:spacing w:after="320"/>
      </w:pPr>
      <w:commentRangeStart w:id="0"/>
      <w:r>
        <w:rPr>
          <w:color w:val="666666"/>
          <w:sz w:val="18"/>
        </w:rPr>
        <w:t>PDF page 1  |  Original deck slide 5</w:t>
      </w:r>
      <w:commentRangeEnd w:id="0"/>
      <w:r>
        <w:rPr>
          <w:rStyle w:val="CommentReference"/>
        </w:rPr>
        <w:commentReference w:id="0"/>
      </w:r>
    </w:p>
    <w:p>
      <w:pPr>
        <w:pStyle w:val="Heading2"/>
      </w:pPr>
      <w:r>
        <w:t>Title</w:t>
      </w:r>
    </w:p>
    <w:p>
      <w:pPr>
        <w:spacing w:after="300" w:line="264" w:lineRule="auto"/>
      </w:pPr>
      <w:r>
        <w:rPr>
          <w:b/>
          <w:sz w:val="30"/>
        </w:rPr>
        <w:t>India's pharma market reaches ~$42bn by FY30E; chronic therapies capture a growing share of the value pool</w:t>
      </w:r>
    </w:p>
    <w:p>
      <w:pPr>
        <w:pStyle w:val="Heading2"/>
      </w:pPr>
      <w:r>
        <w:t>Main bullets</w:t>
      </w:r>
    </w:p>
    <w:p>
      <w:pPr>
        <w:keepLines/>
        <w:spacing w:after="240"/>
        <w:ind w:left="259" w:hanging="259"/>
      </w:pPr>
      <w:r>
        <w:rPr>
          <w:b/>
        </w:rPr>
        <w:t xml:space="preserve">+ </w:t>
      </w:r>
      <w:r>
        <w:t>We forecast chronic therapies rising from 39% of IPM in FY25 to 47% by FY30E, increasing the importance of repeat prescriptions.</w:t>
      </w:r>
    </w:p>
    <w:p>
      <w:pPr>
        <w:keepLines/>
        <w:spacing w:after="240"/>
        <w:ind w:left="259" w:hanging="259"/>
      </w:pPr>
      <w:r>
        <w:rPr>
          <w:b/>
        </w:rPr>
        <w:t xml:space="preserve">+ </w:t>
      </w:r>
      <w:r>
        <w:t>Cardiac and anti-diabetic therapies explain roughly one-third of incremental growth; treatment duration supports demand beyond seasonal acute cycles.</w:t>
      </w:r>
    </w:p>
    <w:p>
      <w:pPr>
        <w:keepLines/>
        <w:spacing w:after="240"/>
        <w:ind w:left="259" w:hanging="259"/>
      </w:pPr>
      <w:r>
        <w:rPr>
          <w:b/>
        </w:rPr>
        <w:t xml:space="preserve">+ </w:t>
      </w:r>
      <w:r>
        <w:t>Respiratory adds a further growth engine as patients move towards maintenance treatment and newer inhaled therapies.</w:t>
      </w:r>
    </w:p>
    <w:p>
      <w:pPr>
        <w:keepLines/>
        <w:spacing w:after="240"/>
        <w:ind w:left="259" w:hanging="259"/>
      </w:pPr>
      <w:r>
        <w:rPr>
          <w:b/>
        </w:rPr>
        <w:t xml:space="preserve">+ </w:t>
      </w:r>
      <w:r>
        <w:t>Companies with specialist prescriber access and differentiated portfolios should capture more of this expanding chronic revenue pool.</w:t>
      </w:r>
    </w:p>
    <w:p>
      <w:r>
        <w:br w:type="page"/>
      </w:r>
    </w:p>
    <w:p>
      <w:pPr>
        <w:pStyle w:val="Heading1"/>
      </w:pPr>
      <w:r>
        <w:t>Slide 2 MNC growth inflection</w:t>
      </w:r>
    </w:p>
    <w:p>
      <w:pPr>
        <w:spacing w:after="320"/>
      </w:pPr>
      <w:commentRangeStart w:id="1"/>
      <w:r>
        <w:rPr>
          <w:color w:val="666666"/>
          <w:sz w:val="18"/>
        </w:rPr>
        <w:t>PDF page 2  |  Original deck slide 10</w:t>
      </w:r>
      <w:commentRangeEnd w:id="1"/>
      <w:r>
        <w:rPr>
          <w:rStyle w:val="CommentReference"/>
        </w:rPr>
        <w:commentReference w:id="1"/>
      </w:r>
    </w:p>
    <w:p>
      <w:pPr>
        <w:pStyle w:val="Heading2"/>
      </w:pPr>
      <w:r>
        <w:t>Title</w:t>
      </w:r>
    </w:p>
    <w:p>
      <w:pPr>
        <w:spacing w:after="300" w:line="264" w:lineRule="auto"/>
      </w:pPr>
      <w:r>
        <w:rPr>
          <w:b/>
          <w:sz w:val="30"/>
        </w:rPr>
        <w:t>GSK and Pfizer close the growth gap from FY27E as newer therapies scale; Abbott remains reliant on its mature portfolio</w:t>
      </w:r>
    </w:p>
    <w:p>
      <w:pPr>
        <w:pStyle w:val="Heading2"/>
      </w:pPr>
      <w:r>
        <w:t>Main bullets</w:t>
      </w:r>
    </w:p>
    <w:p>
      <w:pPr>
        <w:keepLines/>
        <w:spacing w:after="240"/>
        <w:ind w:left="259" w:hanging="259"/>
      </w:pPr>
      <w:r>
        <w:rPr>
          <w:b/>
        </w:rPr>
        <w:t xml:space="preserve">+ </w:t>
      </w:r>
      <w:r>
        <w:t>We forecast GSK and Pfizer moving into double-digit growth from FY27E as recent launches build beyond their initial patient base.</w:t>
      </w:r>
    </w:p>
    <w:p>
      <w:pPr>
        <w:keepLines/>
        <w:spacing w:after="240"/>
        <w:ind w:left="259" w:hanging="259"/>
      </w:pPr>
      <w:r>
        <w:rPr>
          <w:b/>
        </w:rPr>
        <w:t xml:space="preserve">+ </w:t>
      </w:r>
      <w:r>
        <w:t>GSK's vaccines and oncology portfolio, and Pfizer's vaccines and hospital therapies, broaden growth beyond established brands.</w:t>
      </w:r>
    </w:p>
    <w:p>
      <w:pPr>
        <w:keepLines/>
        <w:spacing w:after="240"/>
        <w:ind w:left="259" w:hanging="259"/>
      </w:pPr>
      <w:r>
        <w:rPr>
          <w:b/>
        </w:rPr>
        <w:t xml:space="preserve">+ </w:t>
      </w:r>
      <w:r>
        <w:t>Abbott's slower launch contribution limits acceleration; our forecast retains a growth discount to GSK and Pfizer through FY29E.</w:t>
      </w:r>
    </w:p>
    <w:p>
      <w:r>
        <w:br w:type="page"/>
      </w:r>
    </w:p>
    <w:p>
      <w:pPr>
        <w:pStyle w:val="Heading1"/>
      </w:pPr>
      <w:r>
        <w:t>Slide 3 Oncology and respiratory</w:t>
      </w:r>
    </w:p>
    <w:p>
      <w:pPr>
        <w:spacing w:after="320"/>
      </w:pPr>
      <w:commentRangeStart w:id="2"/>
      <w:r>
        <w:rPr>
          <w:color w:val="666666"/>
          <w:sz w:val="18"/>
        </w:rPr>
        <w:t>PDF page 3  |  Original deck slide 11</w:t>
      </w:r>
      <w:commentRangeEnd w:id="2"/>
      <w:r>
        <w:rPr>
          <w:rStyle w:val="CommentReference"/>
        </w:rPr>
        <w:commentReference w:id="2"/>
      </w:r>
    </w:p>
    <w:p>
      <w:pPr>
        <w:pStyle w:val="Heading2"/>
      </w:pPr>
      <w:r>
        <w:t>Title</w:t>
      </w:r>
    </w:p>
    <w:p>
      <w:pPr>
        <w:spacing w:after="300" w:line="264" w:lineRule="auto"/>
      </w:pPr>
      <w:r>
        <w:rPr>
          <w:b/>
          <w:sz w:val="30"/>
        </w:rPr>
        <w:t>Oncology and respiratory outgrow IPM in our forecast; MNC pipelines concentrate on these expanding treatment categories</w:t>
      </w:r>
    </w:p>
    <w:p>
      <w:pPr>
        <w:pStyle w:val="Heading2"/>
      </w:pPr>
      <w:r>
        <w:t>Main bullets</w:t>
      </w:r>
    </w:p>
    <w:p>
      <w:pPr>
        <w:pStyle w:val="Heading3"/>
      </w:pPr>
      <w:r>
        <w:t>Upper exhibit</w:t>
      </w:r>
    </w:p>
    <w:p>
      <w:pPr>
        <w:keepLines/>
        <w:spacing w:after="240"/>
        <w:ind w:left="259" w:hanging="259"/>
      </w:pPr>
      <w:r>
        <w:rPr>
          <w:b/>
        </w:rPr>
        <w:t xml:space="preserve">+ </w:t>
      </w:r>
      <w:r>
        <w:t>We forecast oncology and respiratory growth above IPM through FY29E, supported by newer treatment options and wider patient access.</w:t>
      </w:r>
    </w:p>
    <w:p>
      <w:pPr>
        <w:keepLines/>
        <w:spacing w:after="240"/>
        <w:ind w:left="259" w:hanging="259"/>
      </w:pPr>
      <w:r>
        <w:rPr>
          <w:b/>
        </w:rPr>
        <w:t xml:space="preserve">+ </w:t>
      </w:r>
      <w:r>
        <w:t>Oncology adds value through innovative regimens; respiratory adds recurring demand as patients move onto maintenance therapy.</w:t>
      </w:r>
    </w:p>
    <w:p>
      <w:pPr>
        <w:pStyle w:val="Heading3"/>
      </w:pPr>
      <w:r>
        <w:t>Lower exhibit</w:t>
      </w:r>
    </w:p>
    <w:p>
      <w:pPr>
        <w:keepLines/>
        <w:spacing w:after="240"/>
        <w:ind w:left="259" w:hanging="259"/>
      </w:pPr>
      <w:r>
        <w:rPr>
          <w:b/>
        </w:rPr>
        <w:t xml:space="preserve">+ </w:t>
      </w:r>
      <w:r>
        <w:t>The parent-group trial mix shows GSK and AstraZeneca most concentrated in oncology and respiratory, followed by Pfizer.</w:t>
      </w:r>
    </w:p>
    <w:p>
      <w:pPr>
        <w:keepLines/>
        <w:spacing w:after="240"/>
        <w:ind w:left="259" w:hanging="259"/>
      </w:pPr>
      <w:r>
        <w:rPr>
          <w:b/>
        </w:rPr>
        <w:t xml:space="preserve">+ </w:t>
      </w:r>
      <w:r>
        <w:t>Late-stage research supplies future launch candidates; India approvals and commercial rights determine how much reaches each listed entity.</w:t>
      </w:r>
    </w:p>
    <w:p>
      <w:r>
        <w:br w:type="page"/>
      </w:r>
    </w:p>
    <w:p>
      <w:pPr>
        <w:pStyle w:val="Heading1"/>
      </w:pPr>
      <w:r>
        <w:t>Slide 4 Field force economics</w:t>
      </w:r>
    </w:p>
    <w:p>
      <w:pPr>
        <w:spacing w:after="320"/>
      </w:pPr>
      <w:commentRangeStart w:id="3"/>
      <w:r>
        <w:rPr>
          <w:color w:val="666666"/>
          <w:sz w:val="18"/>
        </w:rPr>
        <w:t>PDF page 4  |  Original deck slide 12</w:t>
      </w:r>
      <w:commentRangeEnd w:id="3"/>
      <w:r>
        <w:rPr>
          <w:rStyle w:val="CommentReference"/>
        </w:rPr>
        <w:commentReference w:id="3"/>
      </w:r>
    </w:p>
    <w:p>
      <w:pPr>
        <w:pStyle w:val="Heading2"/>
      </w:pPr>
      <w:r>
        <w:t>Title</w:t>
      </w:r>
    </w:p>
    <w:p>
      <w:pPr>
        <w:spacing w:after="300" w:line="264" w:lineRule="auto"/>
      </w:pPr>
      <w:r>
        <w:rPr>
          <w:b/>
          <w:sz w:val="30"/>
        </w:rPr>
        <w:t>MNCs generate more sales per representative despite higher pay; a smaller field force supports commercial efficiency</w:t>
      </w:r>
    </w:p>
    <w:p>
      <w:pPr>
        <w:pStyle w:val="Heading2"/>
      </w:pPr>
      <w:r>
        <w:t>Main bullets</w:t>
      </w:r>
    </w:p>
    <w:p>
      <w:pPr>
        <w:keepLines/>
        <w:spacing w:after="240"/>
        <w:ind w:left="259" w:hanging="259"/>
      </w:pPr>
      <w:r>
        <w:rPr>
          <w:b/>
        </w:rPr>
        <w:t xml:space="preserve">+ </w:t>
      </w:r>
      <w:r>
        <w:t>Our estimates place AstraZeneca at ~INR30mn sales per MR, versus ~INR8-10mn for Cipla and Sun, reflecting different portfolio and coverage models.</w:t>
      </w:r>
    </w:p>
    <w:p>
      <w:pPr>
        <w:keepLines/>
        <w:spacing w:after="240"/>
        <w:ind w:left="259" w:hanging="259"/>
      </w:pPr>
      <w:r>
        <w:rPr>
          <w:b/>
        </w:rPr>
        <w:t xml:space="preserve">+ </w:t>
      </w:r>
      <w:r>
        <w:t>Higher revenue per representative allows MNCs to fund specialist selling and higher compensation within a smaller field organisation.</w:t>
      </w:r>
    </w:p>
    <w:p>
      <w:pPr>
        <w:keepLines/>
        <w:spacing w:after="240"/>
        <w:ind w:left="259" w:hanging="259"/>
      </w:pPr>
      <w:r>
        <w:rPr>
          <w:b/>
        </w:rPr>
        <w:t xml:space="preserve">+ </w:t>
      </w:r>
      <w:r>
        <w:t>Estimated MNC MR CTC of ~INR0.7-1.2mn exceeds ~INR0.5-0.6mn at Sun and Cipla; the productivity premium is larger.</w:t>
      </w:r>
    </w:p>
    <w:p>
      <w:r>
        <w:br w:type="page"/>
      </w:r>
    </w:p>
    <w:p>
      <w:pPr>
        <w:pStyle w:val="Heading1"/>
      </w:pPr>
      <w:r>
        <w:t>Slide 5 Industry and academia partnerships</w:t>
      </w:r>
    </w:p>
    <w:p>
      <w:pPr>
        <w:spacing w:after="320"/>
      </w:pPr>
      <w:commentRangeStart w:id="4"/>
      <w:r>
        <w:rPr>
          <w:color w:val="666666"/>
          <w:sz w:val="18"/>
        </w:rPr>
        <w:t>PDF page 5  |  Original deck slide 13</w:t>
      </w:r>
      <w:commentRangeEnd w:id="4"/>
      <w:r>
        <w:rPr>
          <w:rStyle w:val="CommentReference"/>
        </w:rPr>
        <w:commentReference w:id="4"/>
      </w:r>
    </w:p>
    <w:p>
      <w:pPr>
        <w:pStyle w:val="Heading2"/>
      </w:pPr>
      <w:r>
        <w:t>Title</w:t>
      </w:r>
    </w:p>
    <w:p>
      <w:pPr>
        <w:spacing w:after="300" w:line="264" w:lineRule="auto"/>
      </w:pPr>
      <w:r>
        <w:rPr>
          <w:b/>
          <w:sz w:val="30"/>
        </w:rPr>
        <w:t>MNCs are building India's specialist talent pipeline through research collaborations, applied degrees and structured leadership programmes</w:t>
      </w:r>
    </w:p>
    <w:p>
      <w:r>
        <w:br w:type="page"/>
      </w:r>
    </w:p>
    <w:p>
      <w:pPr>
        <w:pStyle w:val="Heading1"/>
      </w:pPr>
      <w:r>
        <w:t>Slide 6 India GCC capability</w:t>
      </w:r>
    </w:p>
    <w:p>
      <w:pPr>
        <w:spacing w:after="320"/>
      </w:pPr>
      <w:commentRangeStart w:id="5"/>
      <w:r>
        <w:rPr>
          <w:color w:val="666666"/>
          <w:sz w:val="18"/>
        </w:rPr>
        <w:t>PDF page 6  |  Original deck slide 14</w:t>
      </w:r>
      <w:commentRangeEnd w:id="5"/>
      <w:r>
        <w:rPr>
          <w:rStyle w:val="CommentReference"/>
        </w:rPr>
        <w:commentReference w:id="5"/>
      </w:r>
    </w:p>
    <w:p>
      <w:pPr>
        <w:pStyle w:val="Heading2"/>
      </w:pPr>
      <w:r>
        <w:t>Title</w:t>
      </w:r>
    </w:p>
    <w:p>
      <w:pPr>
        <w:spacing w:after="300" w:line="264" w:lineRule="auto"/>
      </w:pPr>
      <w:r>
        <w:rPr>
          <w:b/>
          <w:sz w:val="30"/>
        </w:rPr>
        <w:t>India GCCs embed MNCs deeper in global drug development; local capabilities now extend beyond commercial operations</w:t>
      </w:r>
    </w:p>
    <w:p>
      <w:pPr>
        <w:pStyle w:val="Heading2"/>
      </w:pPr>
      <w:r>
        <w:t>Main bullets</w:t>
      </w:r>
    </w:p>
    <w:p>
      <w:pPr>
        <w:keepLines/>
        <w:spacing w:after="240"/>
        <w:ind w:left="259" w:hanging="259"/>
      </w:pPr>
      <w:r>
        <w:rPr>
          <w:b/>
        </w:rPr>
        <w:t xml:space="preserve">+ </w:t>
      </w:r>
      <w:r>
        <w:t>We estimate more than 16,000 India GCC staff across Novartis, AstraZeneca, GSK and Sanofi, supporting global scientific and operating functions.</w:t>
      </w:r>
    </w:p>
    <w:p>
      <w:pPr>
        <w:keepLines/>
        <w:spacing w:after="240"/>
        <w:ind w:left="259" w:hanging="259"/>
      </w:pPr>
      <w:r>
        <w:rPr>
          <w:b/>
        </w:rPr>
        <w:t xml:space="preserve">+ </w:t>
      </w:r>
      <w:r>
        <w:t>Clinical operations, pharmacovigilance and data capabilities build local experience in developing and monitoring innovative medicines.</w:t>
      </w:r>
    </w:p>
    <w:p>
      <w:pPr>
        <w:keepLines/>
        <w:spacing w:after="240"/>
        <w:ind w:left="259" w:hanging="259"/>
      </w:pPr>
      <w:r>
        <w:rPr>
          <w:b/>
        </w:rPr>
        <w:t xml:space="preserve">+ </w:t>
      </w:r>
      <w:r>
        <w:t>This infrastructure can support Indian filings and launch preparation; listed-entity growth still depends on approvals, access and commercial rights.</w:t>
      </w:r>
    </w:p>
    <w:p>
      <w:r>
        <w:br w:type="page"/>
      </w:r>
    </w:p>
    <w:p>
      <w:pPr>
        <w:pStyle w:val="Heading1"/>
      </w:pPr>
      <w:r>
        <w:t>Slide 7 Clinical participation and approval timing</w:t>
      </w:r>
    </w:p>
    <w:p>
      <w:pPr>
        <w:spacing w:after="320"/>
      </w:pPr>
      <w:commentRangeStart w:id="6"/>
      <w:r>
        <w:rPr>
          <w:color w:val="666666"/>
          <w:sz w:val="18"/>
        </w:rPr>
        <w:t>PDF page 7  |  Original deck slide 15</w:t>
      </w:r>
      <w:commentRangeEnd w:id="6"/>
      <w:r>
        <w:rPr>
          <w:rStyle w:val="CommentReference"/>
        </w:rPr>
        <w:commentReference w:id="6"/>
      </w:r>
    </w:p>
    <w:p>
      <w:pPr>
        <w:pStyle w:val="Heading2"/>
      </w:pPr>
      <w:r>
        <w:t>Title</w:t>
      </w:r>
    </w:p>
    <w:p>
      <w:pPr>
        <w:spacing w:after="300" w:line="264" w:lineRule="auto"/>
      </w:pPr>
      <w:r>
        <w:rPr>
          <w:b/>
          <w:sz w:val="30"/>
        </w:rPr>
        <w:t>India joins more global Phase III programmes; selected assets receive local approval ~17 months after major markets</w:t>
      </w:r>
    </w:p>
    <w:p>
      <w:pPr>
        <w:pStyle w:val="Heading2"/>
      </w:pPr>
      <w:r>
        <w:t>Main bullets</w:t>
      </w:r>
    </w:p>
    <w:p>
      <w:pPr>
        <w:pStyle w:val="Heading3"/>
      </w:pPr>
      <w:r>
        <w:t>Upper exhibit</w:t>
      </w:r>
    </w:p>
    <w:p>
      <w:pPr>
        <w:keepLines/>
        <w:spacing w:after="240"/>
        <w:ind w:left="259" w:hanging="259"/>
      </w:pPr>
      <w:r>
        <w:rPr>
          <w:b/>
        </w:rPr>
        <w:t xml:space="preserve">+ </w:t>
      </w:r>
      <w:r>
        <w:t>India-site participation rises across all six parents; AstraZeneca moves from ~23% to ~43% of registered global Phase III studies.</w:t>
      </w:r>
    </w:p>
    <w:p>
      <w:pPr>
        <w:keepLines/>
        <w:spacing w:after="240"/>
        <w:ind w:left="259" w:hanging="259"/>
      </w:pPr>
      <w:r>
        <w:rPr>
          <w:b/>
        </w:rPr>
        <w:t xml:space="preserve">+ </w:t>
      </w:r>
      <w:r>
        <w:t>Earlier participation brings Indian investigators and patients into global development, supporting local evidence generation before the commercial filing.</w:t>
      </w:r>
    </w:p>
    <w:p>
      <w:pPr>
        <w:pStyle w:val="Heading3"/>
      </w:pPr>
      <w:r>
        <w:t>Lower exhibit</w:t>
      </w:r>
    </w:p>
    <w:p>
      <w:pPr>
        <w:keepLines/>
        <w:spacing w:after="240"/>
        <w:ind w:left="259" w:hanging="259"/>
      </w:pPr>
      <w:r>
        <w:rPr>
          <w:b/>
        </w:rPr>
        <w:t xml:space="preserve">+ </w:t>
      </w:r>
      <w:r>
        <w:t>The six selected assets show a median major-market-to-India approval lag of ~17 months, with a range of ~7-27 months.</w:t>
      </w:r>
    </w:p>
    <w:p>
      <w:pPr>
        <w:keepLines/>
        <w:spacing w:after="240"/>
        <w:ind w:left="259" w:hanging="259"/>
      </w:pPr>
      <w:r>
        <w:rPr>
          <w:b/>
        </w:rPr>
        <w:t xml:space="preserve">+ </w:t>
      </w:r>
      <w:r>
        <w:t>Four of six approvals fall within 24 months; shorter approval lags bring the commercial opportunity forward once launch preparations are complete.</w:t>
      </w:r>
    </w:p>
    <w:p>
      <w:r>
        <w:br w:type="page"/>
      </w:r>
    </w:p>
    <w:p>
      <w:pPr>
        <w:pStyle w:val="Heading1"/>
      </w:pPr>
      <w:r>
        <w:t>Slide 8 Digital regulatory workflow</w:t>
      </w:r>
    </w:p>
    <w:p>
      <w:pPr>
        <w:spacing w:after="320"/>
      </w:pPr>
      <w:commentRangeStart w:id="7"/>
      <w:r>
        <w:rPr>
          <w:color w:val="666666"/>
          <w:sz w:val="18"/>
        </w:rPr>
        <w:t>PDF page 8  |  Original deck slide 16</w:t>
      </w:r>
      <w:commentRangeEnd w:id="7"/>
      <w:r>
        <w:rPr>
          <w:rStyle w:val="CommentReference"/>
        </w:rPr>
        <w:commentReference w:id="7"/>
      </w:r>
    </w:p>
    <w:p>
      <w:pPr>
        <w:pStyle w:val="Heading2"/>
      </w:pPr>
      <w:r>
        <w:t>Title</w:t>
      </w:r>
    </w:p>
    <w:p>
      <w:pPr>
        <w:spacing w:after="300" w:line="264" w:lineRule="auto"/>
      </w:pPr>
      <w:r>
        <w:rPr>
          <w:b/>
          <w:sz w:val="30"/>
        </w:rPr>
        <w:t>Digital CDSCO workflows reduce filing friction; industry-sponsored study registrations with India sites have expanded</w:t>
      </w:r>
    </w:p>
    <w:p>
      <w:pPr>
        <w:pStyle w:val="Heading2"/>
      </w:pPr>
      <w:r>
        <w:t>Main bullets</w:t>
      </w:r>
    </w:p>
    <w:p>
      <w:pPr>
        <w:keepLines/>
        <w:spacing w:after="240"/>
        <w:ind w:left="259" w:hanging="259"/>
      </w:pPr>
      <w:r>
        <w:rPr>
          <w:b/>
        </w:rPr>
        <w:t xml:space="preserve">+ </w:t>
      </w:r>
      <w:r>
        <w:t>SUGAM brings submissions, queries and status tracking online, reducing physical hand-offs across the regulatory application process.</w:t>
      </w:r>
    </w:p>
    <w:p>
      <w:pPr>
        <w:keepLines/>
        <w:spacing w:after="240"/>
        <w:ind w:left="259" w:hanging="259"/>
      </w:pPr>
      <w:r>
        <w:rPr>
          <w:b/>
        </w:rPr>
        <w:t xml:space="preserve">+ </w:t>
      </w:r>
      <w:r>
        <w:t>The plotted study cohort rises from 50 registrations in CY15 to 145 in CY26 YTD; digitalisation supports a more scalable filing process.</w:t>
      </w:r>
    </w:p>
    <w:p>
      <w:r>
        <w:br w:type="page"/>
      </w:r>
    </w:p>
    <w:p>
      <w:pPr>
        <w:pStyle w:val="Heading1"/>
      </w:pPr>
      <w:r>
        <w:t>Slide 9 GSK revenue and margins</w:t>
      </w:r>
    </w:p>
    <w:p>
      <w:pPr>
        <w:spacing w:after="320"/>
      </w:pPr>
      <w:commentRangeStart w:id="8"/>
      <w:r>
        <w:rPr>
          <w:color w:val="666666"/>
          <w:sz w:val="18"/>
        </w:rPr>
        <w:t>PDF page 9  |  Original deck slide 22</w:t>
      </w:r>
      <w:commentRangeEnd w:id="8"/>
      <w:r>
        <w:rPr>
          <w:rStyle w:val="CommentReference"/>
        </w:rPr>
        <w:commentReference w:id="8"/>
      </w:r>
    </w:p>
    <w:p>
      <w:pPr>
        <w:pStyle w:val="Heading2"/>
      </w:pPr>
      <w:r>
        <w:t>Title</w:t>
      </w:r>
    </w:p>
    <w:p>
      <w:pPr>
        <w:spacing w:after="300" w:line="264" w:lineRule="auto"/>
      </w:pPr>
      <w:r>
        <w:rPr>
          <w:b/>
          <w:sz w:val="30"/>
        </w:rPr>
        <w:t>GSK's specialty expansion lifts sales towards INR60bn by FY30E; cost discipline sustains margins in the mid-30s</w:t>
      </w:r>
    </w:p>
    <w:p>
      <w:pPr>
        <w:pStyle w:val="Heading2"/>
      </w:pPr>
      <w:r>
        <w:t>Main bullets</w:t>
      </w:r>
    </w:p>
    <w:p>
      <w:pPr>
        <w:keepLines/>
        <w:spacing w:after="240"/>
        <w:ind w:left="259" w:hanging="259"/>
      </w:pPr>
      <w:r>
        <w:rPr>
          <w:b/>
        </w:rPr>
        <w:t xml:space="preserve">+ </w:t>
      </w:r>
      <w:r>
        <w:t>We forecast vaccines and specialty therapies growing faster than General Medicines, progressively reducing dependence on the legacy portfolio.</w:t>
      </w:r>
    </w:p>
    <w:p>
      <w:pPr>
        <w:keepLines/>
        <w:spacing w:after="240"/>
        <w:ind w:left="259" w:hanging="259"/>
      </w:pPr>
      <w:r>
        <w:rPr>
          <w:b/>
        </w:rPr>
        <w:t xml:space="preserve">+ </w:t>
      </w:r>
      <w:r>
        <w:t>Oncology adds a new revenue stream while adult vaccination and respiratory increase the contribution from differentiated products.</w:t>
      </w:r>
    </w:p>
    <w:p>
      <w:pPr>
        <w:keepLines/>
        <w:spacing w:after="240"/>
        <w:ind w:left="259" w:hanging="259"/>
      </w:pPr>
      <w:r>
        <w:rPr>
          <w:b/>
        </w:rPr>
        <w:t xml:space="preserve">+ </w:t>
      </w:r>
      <w:r>
        <w:t>Gross-margin improvement and tighter selling costs support profitability; launch investment keeps further margin expansion measured.</w:t>
      </w:r>
    </w:p>
    <w:p>
      <w:r>
        <w:br w:type="page"/>
      </w:r>
    </w:p>
    <w:p>
      <w:pPr>
        <w:pStyle w:val="Heading1"/>
      </w:pPr>
      <w:r>
        <w:t>Slide 10 GSK revenue bridge and heritage brands</w:t>
      </w:r>
    </w:p>
    <w:p>
      <w:pPr>
        <w:spacing w:after="320"/>
      </w:pPr>
      <w:commentRangeStart w:id="9"/>
      <w:r>
        <w:rPr>
          <w:color w:val="666666"/>
          <w:sz w:val="18"/>
        </w:rPr>
        <w:t>PDF page 10  |  Original deck slide 23</w:t>
      </w:r>
      <w:commentRangeEnd w:id="9"/>
      <w:r>
        <w:rPr>
          <w:rStyle w:val="CommentReference"/>
        </w:rPr>
        <w:commentReference w:id="9"/>
      </w:r>
    </w:p>
    <w:p>
      <w:pPr>
        <w:pStyle w:val="Heading2"/>
      </w:pPr>
      <w:r>
        <w:t>Title</w:t>
      </w:r>
    </w:p>
    <w:p>
      <w:pPr>
        <w:spacing w:after="300" w:line="264" w:lineRule="auto"/>
      </w:pPr>
      <w:r>
        <w:rPr>
          <w:b/>
          <w:sz w:val="30"/>
        </w:rPr>
        <w:t>GSK's marketed portfolio funds the growth base; future launches provide a separate step-up in FY30E revenue</w:t>
      </w:r>
    </w:p>
    <w:p>
      <w:pPr>
        <w:pStyle w:val="Heading2"/>
      </w:pPr>
      <w:r>
        <w:t>Main bullets</w:t>
      </w:r>
    </w:p>
    <w:p>
      <w:pPr>
        <w:pStyle w:val="Heading3"/>
      </w:pPr>
      <w:r>
        <w:t>Upper exhibit</w:t>
      </w:r>
    </w:p>
    <w:p>
      <w:pPr>
        <w:keepLines/>
        <w:spacing w:after="240"/>
        <w:ind w:left="259" w:hanging="259"/>
      </w:pPr>
      <w:r>
        <w:rPr>
          <w:b/>
        </w:rPr>
        <w:t xml:space="preserve">+ </w:t>
      </w:r>
      <w:r>
        <w:t>We forecast ~9% CAGR from the marketed portfolio to FY30E, combining heritage-brand growth with scaling of currently marketed innovation.</w:t>
      </w:r>
    </w:p>
    <w:p>
      <w:pPr>
        <w:keepLines/>
        <w:spacing w:after="240"/>
        <w:ind w:left="259" w:hanging="259"/>
      </w:pPr>
      <w:r>
        <w:rPr>
          <w:b/>
        </w:rPr>
        <w:t xml:space="preserve">+ </w:t>
      </w:r>
      <w:r>
        <w:t>Future launches add revenue beyond this base, giving GSK a second growth driver as its specialty portfolio broadens.</w:t>
      </w:r>
    </w:p>
    <w:p>
      <w:pPr>
        <w:pStyle w:val="Heading3"/>
      </w:pPr>
      <w:r>
        <w:t>Lower exhibit</w:t>
      </w:r>
    </w:p>
    <w:p>
      <w:pPr>
        <w:keepLines/>
        <w:spacing w:after="240"/>
        <w:ind w:left="259" w:hanging="259"/>
      </w:pPr>
      <w:r>
        <w:rPr>
          <w:b/>
        </w:rPr>
        <w:t xml:space="preserve">+ </w:t>
      </w:r>
      <w:r>
        <w:t>Augmentin remains the largest established franchise; paediatric vaccines and dermatology diversify the base across distinct prescriber groups.</w:t>
      </w:r>
    </w:p>
    <w:p>
      <w:pPr>
        <w:keepLines/>
        <w:spacing w:after="240"/>
        <w:ind w:left="259" w:hanging="259"/>
      </w:pPr>
      <w:r>
        <w:rPr>
          <w:b/>
        </w:rPr>
        <w:t xml:space="preserve">+ </w:t>
      </w:r>
      <w:r>
        <w:t>Mid-to-high single-digit growth from established brands supplies cash flow while new therapies build commercial scale.</w:t>
      </w:r>
    </w:p>
    <w:p>
      <w:r>
        <w:br w:type="page"/>
      </w:r>
    </w:p>
    <w:p>
      <w:pPr>
        <w:pStyle w:val="Heading1"/>
      </w:pPr>
      <w:r>
        <w:t>Slide 11 Adult vaccine market creation</w:t>
      </w:r>
    </w:p>
    <w:p>
      <w:pPr>
        <w:spacing w:after="320"/>
      </w:pPr>
      <w:commentRangeStart w:id="10"/>
      <w:r>
        <w:rPr>
          <w:color w:val="666666"/>
          <w:sz w:val="18"/>
        </w:rPr>
        <w:t>PDF page 11  |  Original deck slide 24</w:t>
      </w:r>
      <w:commentRangeEnd w:id="10"/>
      <w:r>
        <w:rPr>
          <w:rStyle w:val="CommentReference"/>
        </w:rPr>
        <w:commentReference w:id="10"/>
      </w:r>
    </w:p>
    <w:p>
      <w:pPr>
        <w:pStyle w:val="Heading2"/>
      </w:pPr>
      <w:r>
        <w:t>Title</w:t>
      </w:r>
    </w:p>
    <w:p>
      <w:pPr>
        <w:spacing w:after="300" w:line="264" w:lineRule="auto"/>
      </w:pPr>
      <w:r>
        <w:rPr>
          <w:b/>
          <w:sz w:val="30"/>
        </w:rPr>
        <w:t>Adult vaccination expands India's private vaccine market; shingles and RSV create ~INR7bn of new category demand by FY30E</w:t>
      </w:r>
    </w:p>
    <w:p>
      <w:pPr>
        <w:pStyle w:val="Heading2"/>
      </w:pPr>
      <w:r>
        <w:t>Main bullets</w:t>
      </w:r>
    </w:p>
    <w:p>
      <w:pPr>
        <w:keepLines/>
        <w:spacing w:after="240"/>
        <w:ind w:left="259" w:hanging="259"/>
      </w:pPr>
      <w:r>
        <w:rPr>
          <w:b/>
        </w:rPr>
        <w:t xml:space="preserve">+ </w:t>
      </w:r>
      <w:r>
        <w:t>We estimate shingles and RSV expanding the vaccine market beyond its paediatric base, adding ~INR7bn of category sales by FY30E.</w:t>
      </w:r>
    </w:p>
    <w:p>
      <w:pPr>
        <w:keepLines/>
        <w:spacing w:after="240"/>
        <w:ind w:left="259" w:hanging="259"/>
      </w:pPr>
      <w:r>
        <w:rPr>
          <w:b/>
        </w:rPr>
        <w:t xml:space="preserve">+ </w:t>
      </w:r>
      <w:r>
        <w:t>Shingrix and Arexvy give GSK products in both emerging categories, extending its reach into older and higher-risk adult cohorts.</w:t>
      </w:r>
    </w:p>
    <w:p>
      <w:pPr>
        <w:keepLines/>
        <w:spacing w:after="240"/>
        <w:ind w:left="259" w:hanging="259"/>
      </w:pPr>
      <w:r>
        <w:rPr>
          <w:b/>
        </w:rPr>
        <w:t xml:space="preserve">+ </w:t>
      </w:r>
      <w:r>
        <w:t>Physician recommendation and out-of-pocket affordability determine uptake; the forecast builds adoption gradually across FY27-FY30E.</w:t>
      </w:r>
    </w:p>
    <w:p>
      <w:r>
        <w:br w:type="page"/>
      </w:r>
    </w:p>
    <w:p>
      <w:pPr>
        <w:pStyle w:val="Heading1"/>
      </w:pPr>
      <w:r>
        <w:t>Slide 12 GSK vaccine growth bridge</w:t>
      </w:r>
    </w:p>
    <w:p>
      <w:pPr>
        <w:spacing w:after="320"/>
      </w:pPr>
      <w:commentRangeStart w:id="11"/>
      <w:r>
        <w:rPr>
          <w:color w:val="666666"/>
          <w:sz w:val="18"/>
        </w:rPr>
        <w:t>PDF page 12  |  Original deck slide 25</w:t>
      </w:r>
      <w:commentRangeEnd w:id="11"/>
      <w:r>
        <w:rPr>
          <w:rStyle w:val="CommentReference"/>
        </w:rPr>
        <w:commentReference w:id="11"/>
      </w:r>
    </w:p>
    <w:p>
      <w:pPr>
        <w:pStyle w:val="Heading2"/>
      </w:pPr>
      <w:r>
        <w:t>Title</w:t>
      </w:r>
    </w:p>
    <w:p>
      <w:pPr>
        <w:spacing w:after="300" w:line="264" w:lineRule="auto"/>
      </w:pPr>
      <w:r>
        <w:rPr>
          <w:b/>
          <w:sz w:val="30"/>
        </w:rPr>
        <w:t>Shingrix and Arexvy drive most of GSK's incremental vaccine revenue; we forecast ~17% CAGR to FY30E</w:t>
      </w:r>
    </w:p>
    <w:p>
      <w:pPr>
        <w:pStyle w:val="Heading2"/>
      </w:pPr>
      <w:r>
        <w:t>Main bullets</w:t>
      </w:r>
    </w:p>
    <w:p>
      <w:pPr>
        <w:keepLines/>
        <w:spacing w:after="240"/>
        <w:ind w:left="259" w:hanging="259"/>
      </w:pPr>
      <w:r>
        <w:rPr>
          <w:b/>
        </w:rPr>
        <w:t xml:space="preserve">+ </w:t>
      </w:r>
      <w:r>
        <w:t>Established paediatric and travel vaccines provide the revenue base; adult vaccination supplies most of the incremental growth in our forecast.</w:t>
      </w:r>
    </w:p>
    <w:p>
      <w:pPr>
        <w:keepLines/>
        <w:spacing w:after="240"/>
        <w:ind w:left="259" w:hanging="259"/>
      </w:pPr>
      <w:r>
        <w:rPr>
          <w:b/>
        </w:rPr>
        <w:t xml:space="preserve">+ </w:t>
      </w:r>
      <w:r>
        <w:t>Shingrix scales an existing franchise while Arexvy adds RSV prevention, broadening the addressable adult patient pool.</w:t>
      </w:r>
    </w:p>
    <w:p>
      <w:r>
        <w:br w:type="page"/>
      </w:r>
    </w:p>
    <w:p>
      <w:pPr>
        <w:pStyle w:val="Heading1"/>
      </w:pPr>
      <w:r>
        <w:t>Slide 13 GSK oncology revenue</w:t>
      </w:r>
    </w:p>
    <w:p>
      <w:pPr>
        <w:spacing w:after="320"/>
      </w:pPr>
      <w:commentRangeStart w:id="12"/>
      <w:r>
        <w:rPr>
          <w:color w:val="666666"/>
          <w:sz w:val="18"/>
        </w:rPr>
        <w:t>PDF page 13  |  Original deck slide 27</w:t>
      </w:r>
      <w:commentRangeEnd w:id="12"/>
      <w:r>
        <w:rPr>
          <w:rStyle w:val="CommentReference"/>
        </w:rPr>
        <w:commentReference w:id="12"/>
      </w:r>
    </w:p>
    <w:p>
      <w:pPr>
        <w:pStyle w:val="Heading2"/>
      </w:pPr>
      <w:r>
        <w:t>Title</w:t>
      </w:r>
    </w:p>
    <w:p>
      <w:pPr>
        <w:spacing w:after="300" w:line="264" w:lineRule="auto"/>
      </w:pPr>
      <w:r>
        <w:rPr>
          <w:b/>
          <w:sz w:val="30"/>
        </w:rPr>
        <w:t>Blenrep drives GSK's oncology scale-up; Jemperli and Zejula establish the initial commercial base</w:t>
      </w:r>
    </w:p>
    <w:p>
      <w:pPr>
        <w:pStyle w:val="Heading2"/>
      </w:pPr>
      <w:r>
        <w:t>Main bullets</w:t>
      </w:r>
    </w:p>
    <w:p>
      <w:pPr>
        <w:keepLines/>
        <w:spacing w:after="240"/>
        <w:ind w:left="259" w:hanging="259"/>
      </w:pPr>
      <w:r>
        <w:rPr>
          <w:b/>
        </w:rPr>
        <w:t xml:space="preserve">+ </w:t>
      </w:r>
      <w:r>
        <w:t>Our forecast makes Blenrep the largest incremental oncology contributor, extending GSK from gynaecological cancers into relapsed multiple myeloma.</w:t>
      </w:r>
    </w:p>
    <w:p>
      <w:pPr>
        <w:keepLines/>
        <w:spacing w:after="240"/>
        <w:ind w:left="259" w:hanging="259"/>
      </w:pPr>
      <w:r>
        <w:rPr>
          <w:b/>
        </w:rPr>
        <w:t xml:space="preserve">+ </w:t>
      </w:r>
      <w:r>
        <w:t>Jemperli and Zejula build the initial specialist franchise; Blenrep's uptake determines the pace of oncology growth beyond FY27E.</w:t>
      </w:r>
    </w:p>
    <w:p>
      <w:r>
        <w:br w:type="page"/>
      </w:r>
    </w:p>
    <w:p>
      <w:pPr>
        <w:pStyle w:val="Heading1"/>
      </w:pPr>
      <w:r>
        <w:t>Slide 14 GSK oncology clinical drivers</w:t>
      </w:r>
    </w:p>
    <w:p>
      <w:pPr>
        <w:spacing w:after="320"/>
      </w:pPr>
      <w:commentRangeStart w:id="13"/>
      <w:r>
        <w:rPr>
          <w:color w:val="666666"/>
          <w:sz w:val="18"/>
        </w:rPr>
        <w:t>PDF page 14  |  Original deck slide 28</w:t>
      </w:r>
      <w:commentRangeEnd w:id="13"/>
      <w:r>
        <w:rPr>
          <w:rStyle w:val="CommentReference"/>
        </w:rPr>
        <w:commentReference w:id="13"/>
      </w:r>
    </w:p>
    <w:p>
      <w:pPr>
        <w:pStyle w:val="Heading2"/>
      </w:pPr>
      <w:r>
        <w:t>Title</w:t>
      </w:r>
    </w:p>
    <w:p>
      <w:pPr>
        <w:spacing w:after="300" w:line="264" w:lineRule="auto"/>
      </w:pPr>
      <w:r>
        <w:rPr>
          <w:b/>
          <w:sz w:val="30"/>
        </w:rPr>
        <w:t>Jemperli's wider label expands its patient pool ~7.5x; Blenrep adds head-to-head efficacy differentiation</w:t>
      </w:r>
    </w:p>
    <w:p>
      <w:pPr>
        <w:pStyle w:val="Heading2"/>
      </w:pPr>
      <w:r>
        <w:t>Main bullets</w:t>
      </w:r>
    </w:p>
    <w:p>
      <w:pPr>
        <w:pStyle w:val="Heading3"/>
      </w:pPr>
      <w:r>
        <w:t>Upper exhibit</w:t>
      </w:r>
    </w:p>
    <w:p>
      <w:pPr>
        <w:keepLines/>
        <w:spacing w:after="240"/>
        <w:ind w:left="259" w:hanging="259"/>
      </w:pPr>
      <w:r>
        <w:rPr>
          <w:b/>
        </w:rPr>
        <w:t xml:space="preserve">+ </w:t>
      </w:r>
      <w:r>
        <w:t>Jemperli's first-line approval expands the eligible pool from ~800 to ~6,000 patients, widening use beyond the original second-line population.</w:t>
      </w:r>
    </w:p>
    <w:p>
      <w:pPr>
        <w:keepLines/>
        <w:spacing w:after="240"/>
        <w:ind w:left="259" w:hanging="259"/>
      </w:pPr>
      <w:r>
        <w:rPr>
          <w:b/>
        </w:rPr>
        <w:t xml:space="preserve">+ </w:t>
      </w:r>
      <w:r>
        <w:t>First-line use reaches patients earlier, increasing Jemperli's treatment pool before progression and attrition into later lines.</w:t>
      </w:r>
    </w:p>
    <w:p>
      <w:pPr>
        <w:pStyle w:val="Heading3"/>
      </w:pPr>
      <w:r>
        <w:t>Lower exhibit</w:t>
      </w:r>
    </w:p>
    <w:p>
      <w:pPr>
        <w:keepLines/>
        <w:spacing w:after="240"/>
        <w:ind w:left="259" w:hanging="259"/>
      </w:pPr>
      <w:r>
        <w:rPr>
          <w:b/>
        </w:rPr>
        <w:t xml:space="preserve">+ </w:t>
      </w:r>
      <w:r>
        <w:t>DREAMM-7 showed median progression-free survival of 36.6 versus 13.4 months, a 59% reduction in progression or death versus daratumumab + BorDex.</w:t>
      </w:r>
    </w:p>
    <w:p>
      <w:pPr>
        <w:keepLines/>
        <w:spacing w:after="240"/>
        <w:ind w:left="259" w:hanging="259"/>
      </w:pPr>
      <w:r>
        <w:rPr>
          <w:b/>
        </w:rPr>
        <w:t xml:space="preserve">+ </w:t>
      </w:r>
      <w:r>
        <w:t>Blenrep provides an off-the-shelf ADC option for relapsed disease; eye monitoring and dose management remain essential to adoption.</w:t>
      </w:r>
    </w:p>
    <w:p>
      <w:r>
        <w:br w:type="page"/>
      </w:r>
    </w:p>
    <w:p>
      <w:pPr>
        <w:pStyle w:val="Heading1"/>
      </w:pPr>
      <w:r>
        <w:t>Slide 15 Pfizer entity portfolio</w:t>
      </w:r>
    </w:p>
    <w:p>
      <w:pPr>
        <w:spacing w:after="320"/>
      </w:pPr>
      <w:commentRangeStart w:id="14"/>
      <w:r>
        <w:rPr>
          <w:color w:val="666666"/>
          <w:sz w:val="18"/>
        </w:rPr>
        <w:t>PDF page 15  |  Original deck slide 31</w:t>
      </w:r>
      <w:commentRangeEnd w:id="14"/>
      <w:r>
        <w:rPr>
          <w:rStyle w:val="CommentReference"/>
        </w:rPr>
        <w:commentReference w:id="14"/>
      </w:r>
    </w:p>
    <w:p>
      <w:pPr>
        <w:pStyle w:val="Heading2"/>
      </w:pPr>
      <w:r>
        <w:t>Title</w:t>
      </w:r>
    </w:p>
    <w:p>
      <w:pPr>
        <w:spacing w:after="300" w:line="264" w:lineRule="auto"/>
      </w:pPr>
      <w:r>
        <w:rPr>
          <w:b/>
          <w:sz w:val="30"/>
        </w:rPr>
        <w:t>Pfizer Limited houses the legacy franchises; oncology and rare-disease assets remain concentrated in the private entity</w:t>
      </w:r>
    </w:p>
    <w:p>
      <w:r>
        <w:br w:type="page"/>
      </w:r>
    </w:p>
    <w:p>
      <w:pPr>
        <w:pStyle w:val="Heading1"/>
      </w:pPr>
      <w:r>
        <w:t>Slide 16 Pfizer medicines and services</w:t>
      </w:r>
    </w:p>
    <w:p>
      <w:pPr>
        <w:spacing w:after="320"/>
      </w:pPr>
      <w:commentRangeStart w:id="15"/>
      <w:r>
        <w:rPr>
          <w:color w:val="666666"/>
          <w:sz w:val="18"/>
        </w:rPr>
        <w:t>PDF page 16  |  Original deck slide 32</w:t>
      </w:r>
      <w:commentRangeEnd w:id="15"/>
      <w:r>
        <w:rPr>
          <w:rStyle w:val="CommentReference"/>
        </w:rPr>
        <w:commentReference w:id="15"/>
      </w:r>
    </w:p>
    <w:p>
      <w:pPr>
        <w:pStyle w:val="Heading2"/>
      </w:pPr>
      <w:r>
        <w:t>Title</w:t>
      </w:r>
    </w:p>
    <w:p>
      <w:pPr>
        <w:spacing w:after="300" w:line="264" w:lineRule="auto"/>
      </w:pPr>
      <w:r>
        <w:rPr>
          <w:b/>
          <w:sz w:val="30"/>
        </w:rPr>
        <w:t>Medicines drive Pfizer Limited's revenue recovery; the small services contribution offers limited support to growth</w:t>
      </w:r>
    </w:p>
    <w:p>
      <w:r>
        <w:br w:type="page"/>
      </w:r>
    </w:p>
    <w:p>
      <w:pPr>
        <w:pStyle w:val="Heading1"/>
      </w:pPr>
      <w:r>
        <w:t>Slide 17 Pfizer group growth versus IPM</w:t>
      </w:r>
    </w:p>
    <w:p>
      <w:pPr>
        <w:spacing w:after="320"/>
      </w:pPr>
      <w:commentRangeStart w:id="16"/>
      <w:r>
        <w:rPr>
          <w:color w:val="666666"/>
          <w:sz w:val="18"/>
        </w:rPr>
        <w:t>PDF page 17  |  Original deck slide 33</w:t>
      </w:r>
      <w:commentRangeEnd w:id="16"/>
      <w:r>
        <w:rPr>
          <w:rStyle w:val="CommentReference"/>
        </w:rPr>
        <w:commentReference w:id="16"/>
      </w:r>
    </w:p>
    <w:p>
      <w:pPr>
        <w:pStyle w:val="Heading2"/>
      </w:pPr>
      <w:r>
        <w:t>Title</w:t>
      </w:r>
    </w:p>
    <w:p>
      <w:pPr>
        <w:spacing w:after="300" w:line="264" w:lineRule="auto"/>
      </w:pPr>
      <w:r>
        <w:rPr>
          <w:b/>
          <w:sz w:val="30"/>
        </w:rPr>
        <w:t>Pfizer's growth recovery remains uneven; sustained IPM outperformance requires a broader contribution from recent launches</w:t>
      </w:r>
    </w:p>
    <w:p>
      <w:pPr>
        <w:pStyle w:val="Heading2"/>
      </w:pPr>
      <w:r>
        <w:t>Main bullets</w:t>
      </w:r>
    </w:p>
    <w:p>
      <w:pPr>
        <w:keepLines/>
        <w:spacing w:after="240"/>
        <w:ind w:left="259" w:hanging="259"/>
      </w:pPr>
      <w:r>
        <w:rPr>
          <w:b/>
        </w:rPr>
        <w:t xml:space="preserve">+ </w:t>
      </w:r>
      <w:r>
        <w:t>Pfizer group's growth exceeds IPM in selected months but falls below it in the latest two observations; outperformance remains inconsistent.</w:t>
      </w:r>
    </w:p>
    <w:p>
      <w:pPr>
        <w:keepLines/>
        <w:spacing w:after="240"/>
        <w:ind w:left="259" w:hanging="259"/>
      </w:pPr>
      <w:r>
        <w:rPr>
          <w:b/>
        </w:rPr>
        <w:t xml:space="preserve">+ </w:t>
      </w:r>
      <w:r>
        <w:t>Prevenar 20, Emblaveo and Nurtec must build recurring sales to strengthen the listed company's growth beyond short-term fluctuations.</w:t>
      </w:r>
    </w:p>
    <w:p>
      <w:r>
        <w:br w:type="page"/>
      </w:r>
    </w:p>
    <w:p>
      <w:pPr>
        <w:pStyle w:val="Heading1"/>
      </w:pPr>
      <w:r>
        <w:t>Slide 18 Pfizer therapy growth</w:t>
      </w:r>
    </w:p>
    <w:p>
      <w:pPr>
        <w:spacing w:after="320"/>
      </w:pPr>
      <w:commentRangeStart w:id="17"/>
      <w:r>
        <w:rPr>
          <w:color w:val="666666"/>
          <w:sz w:val="18"/>
        </w:rPr>
        <w:t>PDF page 18  |  Original deck slide 34</w:t>
      </w:r>
      <w:commentRangeEnd w:id="17"/>
      <w:r>
        <w:rPr>
          <w:rStyle w:val="CommentReference"/>
        </w:rPr>
        <w:commentReference w:id="17"/>
      </w:r>
    </w:p>
    <w:p>
      <w:pPr>
        <w:pStyle w:val="Heading2"/>
      </w:pPr>
      <w:r>
        <w:t>Title</w:t>
      </w:r>
    </w:p>
    <w:p>
      <w:pPr>
        <w:spacing w:after="300" w:line="264" w:lineRule="auto"/>
      </w:pPr>
      <w:r>
        <w:rPr>
          <w:b/>
          <w:sz w:val="30"/>
        </w:rPr>
        <w:t>Hospital anti-infectives and vaccines lead Pfizer's growth; vitamins and cardiac remain the weak spots</w:t>
      </w:r>
    </w:p>
    <w:p>
      <w:pPr>
        <w:pStyle w:val="Heading2"/>
      </w:pPr>
      <w:r>
        <w:t>Main bullets</w:t>
      </w:r>
    </w:p>
    <w:p>
      <w:pPr>
        <w:keepLines/>
        <w:spacing w:after="240"/>
        <w:ind w:left="259" w:hanging="259"/>
      </w:pPr>
      <w:r>
        <w:rPr>
          <w:b/>
        </w:rPr>
        <w:t xml:space="preserve">+ </w:t>
      </w:r>
      <w:r>
        <w:t>Our therapy estimates show hospital anti-infectives and vaccines growing ahead of their markets, supporting a shift towards hospital and specialist demand.</w:t>
      </w:r>
    </w:p>
    <w:p>
      <w:pPr>
        <w:keepLines/>
        <w:spacing w:after="240"/>
        <w:ind w:left="259" w:hanging="259"/>
      </w:pPr>
      <w:r>
        <w:rPr>
          <w:b/>
        </w:rPr>
        <w:t xml:space="preserve">+ </w:t>
      </w:r>
      <w:r>
        <w:t>Vitamins and cardiac lag their therapy markets; faster-growing newer franchises must offset this drag on the listed portfolio.</w:t>
      </w:r>
    </w:p>
    <w:p>
      <w:r>
        <w:br w:type="page"/>
      </w:r>
    </w:p>
    <w:p>
      <w:pPr>
        <w:pStyle w:val="Heading1"/>
      </w:pPr>
      <w:r>
        <w:t>Slide 19 Pfizer vaccines and anti infectives</w:t>
      </w:r>
    </w:p>
    <w:p>
      <w:pPr>
        <w:spacing w:after="320"/>
      </w:pPr>
      <w:commentRangeStart w:id="18"/>
      <w:r>
        <w:rPr>
          <w:color w:val="666666"/>
          <w:sz w:val="18"/>
        </w:rPr>
        <w:t>PDF page 19  |  Original deck slide 35</w:t>
      </w:r>
      <w:commentRangeEnd w:id="18"/>
      <w:r>
        <w:rPr>
          <w:rStyle w:val="CommentReference"/>
        </w:rPr>
        <w:commentReference w:id="18"/>
      </w:r>
    </w:p>
    <w:p>
      <w:pPr>
        <w:pStyle w:val="Heading2"/>
      </w:pPr>
      <w:r>
        <w:t>Title</w:t>
      </w:r>
    </w:p>
    <w:p>
      <w:pPr>
        <w:spacing w:after="300" w:line="264" w:lineRule="auto"/>
      </w:pPr>
      <w:r>
        <w:rPr>
          <w:b/>
          <w:sz w:val="30"/>
        </w:rPr>
        <w:t>Prevenar 20 and hospital anti-infectives deepen Pfizer's growth base; newer products drive incremental sales</w:t>
      </w:r>
    </w:p>
    <w:p>
      <w:pPr>
        <w:pStyle w:val="Heading2"/>
      </w:pPr>
      <w:r>
        <w:t>Main bullets</w:t>
      </w:r>
    </w:p>
    <w:p>
      <w:pPr>
        <w:pStyle w:val="Heading3"/>
      </w:pPr>
      <w:r>
        <w:t>Upper exhibit</w:t>
      </w:r>
    </w:p>
    <w:p>
      <w:pPr>
        <w:keepLines/>
        <w:spacing w:after="240"/>
        <w:ind w:left="259" w:hanging="259"/>
      </w:pPr>
      <w:r>
        <w:rPr>
          <w:b/>
        </w:rPr>
        <w:t xml:space="preserve">+ </w:t>
      </w:r>
      <w:r>
        <w:t>Prevenar 20 provides most incremental vaccine sales in our FY30E forecast as Pfizer expands its adult pneumococcal franchise.</w:t>
      </w:r>
    </w:p>
    <w:p>
      <w:pPr>
        <w:keepLines/>
        <w:spacing w:after="240"/>
        <w:ind w:left="259" w:hanging="259"/>
      </w:pPr>
      <w:r>
        <w:rPr>
          <w:b/>
        </w:rPr>
        <w:t xml:space="preserve">+ </w:t>
      </w:r>
      <w:r>
        <w:t>Prevenar 13 anchors the existing franchise; additional vaccine launches broaden the portfolio as adult prevention gains adoption.</w:t>
      </w:r>
    </w:p>
    <w:p>
      <w:pPr>
        <w:pStyle w:val="Heading3"/>
      </w:pPr>
      <w:r>
        <w:t>Lower exhibit</w:t>
      </w:r>
    </w:p>
    <w:p>
      <w:pPr>
        <w:keepLines/>
        <w:spacing w:after="240"/>
        <w:ind w:left="259" w:hanging="259"/>
      </w:pPr>
      <w:r>
        <w:rPr>
          <w:b/>
        </w:rPr>
        <w:t xml:space="preserve">+ </w:t>
      </w:r>
      <w:r>
        <w:t>Magnex, Meronem and Zavicefta sustain the hospital anti-infective base; Emblaveo adds a new product for drug-resistant infections.</w:t>
      </w:r>
    </w:p>
    <w:p>
      <w:pPr>
        <w:keepLines/>
        <w:spacing w:after="240"/>
        <w:ind w:left="259" w:hanging="259"/>
      </w:pPr>
      <w:r>
        <w:rPr>
          <w:b/>
        </w:rPr>
        <w:t xml:space="preserve">+ </w:t>
      </w:r>
      <w:r>
        <w:t>Hospital relationships support access to complex infections; stewardship and evidence-based use determine the adoption of newer antibiotics.</w:t>
      </w:r>
    </w:p>
    <w:p>
      <w:r>
        <w:br w:type="page"/>
      </w:r>
    </w:p>
    <w:p>
      <w:pPr>
        <w:pStyle w:val="Heading1"/>
      </w:pPr>
      <w:r>
        <w:t>Slide 20 Pfizer group scale and listed margin bridge</w:t>
      </w:r>
    </w:p>
    <w:p>
      <w:pPr>
        <w:spacing w:after="320"/>
      </w:pPr>
      <w:commentRangeStart w:id="19"/>
      <w:r>
        <w:rPr>
          <w:color w:val="666666"/>
          <w:sz w:val="18"/>
        </w:rPr>
        <w:t>PDF page 20  |  Original deck slide 36</w:t>
      </w:r>
      <w:commentRangeEnd w:id="19"/>
      <w:r>
        <w:rPr>
          <w:rStyle w:val="CommentReference"/>
        </w:rPr>
        <w:commentReference w:id="19"/>
      </w:r>
    </w:p>
    <w:p>
      <w:pPr>
        <w:pStyle w:val="Heading2"/>
      </w:pPr>
      <w:r>
        <w:t>Title</w:t>
      </w:r>
    </w:p>
    <w:p>
      <w:pPr>
        <w:spacing w:after="300" w:line="264" w:lineRule="auto"/>
      </w:pPr>
      <w:r>
        <w:rPr>
          <w:b/>
          <w:sz w:val="30"/>
        </w:rPr>
        <w:t>Pfizer Limited's earnings recovery combines sales growth with ~260bps of EBITDA margin expansion by FY29E</w:t>
      </w:r>
    </w:p>
    <w:p>
      <w:pPr>
        <w:pStyle w:val="Heading2"/>
      </w:pPr>
      <w:r>
        <w:t>Main bullets</w:t>
      </w:r>
    </w:p>
    <w:p>
      <w:pPr>
        <w:keepLines/>
        <w:spacing w:after="240"/>
        <w:ind w:left="259" w:hanging="259"/>
      </w:pPr>
      <w:r>
        <w:rPr>
          <w:b/>
        </w:rPr>
        <w:t xml:space="preserve">+ </w:t>
      </w:r>
      <w:r>
        <w:t>The wider India group adds specialty scale, but private pharma and manufacturing revenue remain outside Pfizer Limited's earnings perimeter.</w:t>
      </w:r>
    </w:p>
    <w:p>
      <w:pPr>
        <w:keepLines/>
        <w:spacing w:after="240"/>
        <w:ind w:left="259" w:hanging="259"/>
      </w:pPr>
      <w:r>
        <w:rPr>
          <w:b/>
        </w:rPr>
        <w:t xml:space="preserve">+ </w:t>
      </w:r>
      <w:r>
        <w:t>We forecast ~110bps of margin benefit from cost savings, retaining a leaner expense base as revenue grows.</w:t>
      </w:r>
    </w:p>
    <w:p>
      <w:pPr>
        <w:keepLines/>
        <w:spacing w:after="240"/>
        <w:ind w:left="259" w:hanging="259"/>
      </w:pPr>
      <w:r>
        <w:rPr>
          <w:b/>
        </w:rPr>
        <w:t xml:space="preserve">+ </w:t>
      </w:r>
      <w:r>
        <w:t>Operating leverage and mix add ~150bps, taking EBITDA margin from ~35.9% in FY26 to ~38.5% by FY29E.</w:t>
      </w:r>
    </w:p>
    <w:p>
      <w:r>
        <w:br w:type="page"/>
      </w:r>
    </w:p>
    <w:p>
      <w:pPr>
        <w:pStyle w:val="Heading1"/>
      </w:pPr>
      <w:r>
        <w:t>Slide 21 Abbott revenue bridge</w:t>
      </w:r>
    </w:p>
    <w:p>
      <w:pPr>
        <w:spacing w:after="320"/>
      </w:pPr>
      <w:commentRangeStart w:id="20"/>
      <w:r>
        <w:rPr>
          <w:color w:val="666666"/>
          <w:sz w:val="18"/>
        </w:rPr>
        <w:t>PDF page 21  |  Original deck slide 40</w:t>
      </w:r>
      <w:commentRangeEnd w:id="20"/>
      <w:r>
        <w:rPr>
          <w:rStyle w:val="CommentReference"/>
        </w:rPr>
        <w:commentReference w:id="20"/>
      </w:r>
    </w:p>
    <w:p>
      <w:pPr>
        <w:pStyle w:val="Heading2"/>
      </w:pPr>
      <w:r>
        <w:t>Title</w:t>
      </w:r>
    </w:p>
    <w:p>
      <w:pPr>
        <w:spacing w:after="300" w:line="264" w:lineRule="auto"/>
      </w:pPr>
      <w:r>
        <w:rPr>
          <w:b/>
          <w:sz w:val="30"/>
        </w:rPr>
        <w:t>Abbott's FY29E growth remains dependent on established brands; new launches contribute little to incremental revenue</w:t>
      </w:r>
    </w:p>
    <w:p>
      <w:pPr>
        <w:pStyle w:val="Heading2"/>
      </w:pPr>
      <w:r>
        <w:t>Main bullets</w:t>
      </w:r>
    </w:p>
    <w:p>
      <w:pPr>
        <w:keepLines/>
        <w:spacing w:after="240"/>
        <w:ind w:left="259" w:hanging="259"/>
      </w:pPr>
      <w:r>
        <w:rPr>
          <w:b/>
        </w:rPr>
        <w:t xml:space="preserve">+ </w:t>
      </w:r>
      <w:r>
        <w:t>Large established brands supply most incremental sales in our FY26-FY29E bridge, leaving the growth outlook concentrated in the existing portfolio.</w:t>
      </w:r>
    </w:p>
    <w:p>
      <w:pPr>
        <w:keepLines/>
        <w:spacing w:after="240"/>
        <w:ind w:left="259" w:hanging="259"/>
      </w:pPr>
      <w:r>
        <w:rPr>
          <w:b/>
        </w:rPr>
        <w:t xml:space="preserve">+ </w:t>
      </w:r>
      <w:r>
        <w:t>Recent GI launches add limited revenue; the franchise needs sustained volume and pricing from its core brands to deliver our forecast.</w:t>
      </w:r>
    </w:p>
    <w:p>
      <w:r>
        <w:br w:type="page"/>
      </w:r>
    </w:p>
    <w:p>
      <w:pPr>
        <w:pStyle w:val="Heading1"/>
      </w:pPr>
      <w:r>
        <w:t>Slide 22 Duphaston generic competition</w:t>
      </w:r>
    </w:p>
    <w:p>
      <w:pPr>
        <w:spacing w:after="320"/>
      </w:pPr>
      <w:commentRangeStart w:id="21"/>
      <w:r>
        <w:rPr>
          <w:color w:val="666666"/>
          <w:sz w:val="18"/>
        </w:rPr>
        <w:t>PDF page 22  |  Original deck slide 41</w:t>
      </w:r>
      <w:commentRangeEnd w:id="21"/>
      <w:r>
        <w:rPr>
          <w:rStyle w:val="CommentReference"/>
        </w:rPr>
        <w:commentReference w:id="21"/>
      </w:r>
    </w:p>
    <w:p>
      <w:pPr>
        <w:pStyle w:val="Heading2"/>
      </w:pPr>
      <w:r>
        <w:t>Title</w:t>
      </w:r>
    </w:p>
    <w:p>
      <w:pPr>
        <w:spacing w:after="300" w:line="264" w:lineRule="auto"/>
      </w:pPr>
      <w:r>
        <w:rPr>
          <w:b/>
          <w:sz w:val="30"/>
        </w:rPr>
        <w:t>Duphaston's price premium faces growing competition; its value share has fallen towards one-quarter of the market</w:t>
      </w:r>
    </w:p>
    <w:p>
      <w:pPr>
        <w:pStyle w:val="Heading2"/>
      </w:pPr>
      <w:r>
        <w:t>Main bullets</w:t>
      </w:r>
    </w:p>
    <w:p>
      <w:pPr>
        <w:keepLines/>
        <w:spacing w:after="240"/>
        <w:ind w:left="259" w:hanging="259"/>
      </w:pPr>
      <w:r>
        <w:rPr>
          <w:b/>
        </w:rPr>
        <w:t xml:space="preserve">+ </w:t>
      </w:r>
      <w:r>
        <w:t>Lower-priced dydrogesterone brands give prescribers multiple alternatives, narrowing Abbott's pricing headroom within women's health.</w:t>
      </w:r>
    </w:p>
    <w:p>
      <w:pPr>
        <w:keepLines/>
        <w:spacing w:after="240"/>
        <w:ind w:left="259" w:hanging="259"/>
      </w:pPr>
      <w:r>
        <w:rPr>
          <w:b/>
        </w:rPr>
        <w:t xml:space="preserve">+ </w:t>
      </w:r>
      <w:r>
        <w:t>The plotted value share falls from ~40% in December 2022 to ~25% by March 2025, showing sustained competitive pressure.</w:t>
      </w:r>
    </w:p>
    <w:p>
      <w:pPr>
        <w:keepLines/>
        <w:spacing w:after="240"/>
        <w:ind w:left="259" w:hanging="259"/>
      </w:pPr>
      <w:r>
        <w:rPr>
          <w:b/>
        </w:rPr>
        <w:t xml:space="preserve">+ </w:t>
      </w:r>
      <w:r>
        <w:t>Protecting prescriptions increasingly depends on brand preference and clinical engagement as competitors offer the same molecule at lower prices.</w:t>
      </w:r>
    </w:p>
    <w:p>
      <w:r>
        <w:br w:type="page"/>
      </w:r>
    </w:p>
    <w:p>
      <w:pPr>
        <w:pStyle w:val="Heading1"/>
      </w:pPr>
      <w:r>
        <w:t>Slide 23 Abbott relative growth</w:t>
      </w:r>
    </w:p>
    <w:p>
      <w:pPr>
        <w:spacing w:after="320"/>
      </w:pPr>
      <w:commentRangeStart w:id="22"/>
      <w:r>
        <w:rPr>
          <w:color w:val="666666"/>
          <w:sz w:val="18"/>
        </w:rPr>
        <w:t>PDF page 23  |  Original deck slide 42</w:t>
      </w:r>
      <w:commentRangeEnd w:id="22"/>
      <w:r>
        <w:rPr>
          <w:rStyle w:val="CommentReference"/>
        </w:rPr>
        <w:commentReference w:id="22"/>
      </w:r>
    </w:p>
    <w:p>
      <w:pPr>
        <w:pStyle w:val="Heading2"/>
      </w:pPr>
      <w:r>
        <w:t>Title</w:t>
      </w:r>
    </w:p>
    <w:p>
      <w:pPr>
        <w:spacing w:after="300" w:line="264" w:lineRule="auto"/>
      </w:pPr>
      <w:r>
        <w:rPr>
          <w:b/>
          <w:sz w:val="30"/>
        </w:rPr>
        <w:t>Abbott's growth discount persists as IPM and domestic peers accelerate; established brands have yet to close the gap</w:t>
      </w:r>
    </w:p>
    <w:p>
      <w:pPr>
        <w:pStyle w:val="Heading2"/>
      </w:pPr>
      <w:r>
        <w:t>Main bullets</w:t>
      </w:r>
    </w:p>
    <w:p>
      <w:pPr>
        <w:keepLines/>
        <w:spacing w:after="240"/>
        <w:ind w:left="259" w:hanging="259"/>
      </w:pPr>
      <w:r>
        <w:rPr>
          <w:b/>
        </w:rPr>
        <w:t xml:space="preserve">+ </w:t>
      </w:r>
      <w:r>
        <w:t>The latest plotted growth is ~6-7% for Abbott versus ~15% for IPM, with Sun and Mankind also growing faster.</w:t>
      </w:r>
    </w:p>
    <w:p>
      <w:pPr>
        <w:keepLines/>
        <w:spacing w:after="240"/>
        <w:ind w:left="259" w:hanging="259"/>
      </w:pPr>
      <w:r>
        <w:rPr>
          <w:b/>
        </w:rPr>
        <w:t xml:space="preserve">+ </w:t>
      </w:r>
      <w:r>
        <w:t>Duphaston competition and limited new-launch sales leave Abbott reliant on established-brand volumes to narrow this growth gap.</w:t>
      </w:r>
    </w:p>
    <w:sectPr w:rsidR="00FC693F" w:rsidRPr="0006063C" w:rsidSect="00034616">
      <w:pgSz w:w="12240" w:h="15840"/>
      <w:pgMar w:top="1080" w:right="1152" w:bottom="1080" w:left="1152"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xhibit review" w:initials="ER" w:date="2026-10-26T12:53:43Z">
    <w:p>
      <w:pPr>
        <w:pStyle w:val="CommentText"/>
      </w:pPr>
      <w:r>
        <w:rPr>
          <w:rStyle w:val="CommentReference"/>
        </w:rPr>
        <w:annotationRef/>
      </w:r>
      <w:r>
        <w:t>The existing title says chronic represents ~80% of the growth opportunity. The displayed charts do not establish that figure. Replaced it with the plotted share change from 39% to 47%. Forecasts remain the deck's estimates.</w:t>
      </w:r>
    </w:p>
  </w:comment>
  <w:comment w:id="1" w:author="Exhibit review" w:initials="ER" w:date="2026-10-26T12:53:43Z">
    <w:p>
      <w:pPr>
        <w:pStyle w:val="CommentText"/>
      </w:pPr>
      <w:r>
        <w:rPr>
          <w:rStyle w:val="CommentReference"/>
        </w:rPr>
        <w:annotationRef/>
      </w:r>
      <w:r>
        <w:t>The plotted forecast supports GSK and Pfizer accelerating, not every MNC outperforming every domestic company. FY27-FY29 figures must remain labelled estimates. The original exhibit subtitle says previous five years but includes FY24-FY29, including forecasts.</w:t>
      </w:r>
    </w:p>
  </w:comment>
  <w:comment w:id="2" w:author="Exhibit review" w:initials="ER" w:date="2026-10-26T12:53:43Z">
    <w:p>
      <w:pPr>
        <w:pStyle w:val="CommentText"/>
      </w:pPr>
      <w:r>
        <w:rPr>
          <w:rStyle w:val="CommentReference"/>
        </w:rPr>
        <w:annotationRef/>
      </w:r>
      <w:r>
        <w:t>The Phase III percentages are from the supplied exhibit, not independently reproduced here. Confirm registry, extraction date, active-study definition and whether counts represent trials or unique assets. These are parent-group data, not listed-entity pipelines; the chart has no domestic comparator.</w:t>
      </w:r>
    </w:p>
  </w:comment>
  <w:comment w:id="3" w:author="Exhibit review" w:initials="ER" w:date="2026-10-26T12:53:43Z">
    <w:p>
      <w:pPr>
        <w:pStyle w:val="CommentText"/>
      </w:pPr>
      <w:r>
        <w:rPr>
          <w:rStyle w:val="CommentReference"/>
        </w:rPr>
        <w:annotationRef/>
      </w:r>
      <w:r>
        <w:t>MR productivity and CTC are estimates. Match India domestic pharmaceutical sales to the corresponding field force and period; exclude exports and other entities. Salary CTC includes the user's 1.5x adjustment and is not independently reported employer CTC. Higher sales/MR does not establish higher units, profit/MR or superior individual skill.</w:t>
      </w:r>
    </w:p>
  </w:comment>
  <w:comment w:id="4" w:author="Exhibit review" w:initials="ER" w:date="2026-10-26T12:53:43Z">
    <w:p>
      <w:pPr>
        <w:pStyle w:val="CommentText"/>
      </w:pPr>
      <w:r>
        <w:rPr>
          <w:rStyle w:val="CommentReference"/>
        </w:rPr>
        <w:annotationRef/>
      </w:r>
      <w:r>
        <w:t>Title-only replacement. Retain the partnership infographic. These examples establish breadth of engagement, not an increase over time or superiority to domestic peers. Programme durations, participant counts and proposal counts are different measures and should not be aggregated.</w:t>
      </w:r>
    </w:p>
  </w:comment>
  <w:comment w:id="5" w:author="Exhibit review" w:initials="ER" w:date="2026-10-26T12:53:44Z">
    <w:p>
      <w:pPr>
        <w:pStyle w:val="CommentText"/>
      </w:pPr>
      <w:r>
        <w:rPr>
          <w:rStyle w:val="CommentReference"/>
        </w:rPr>
        <w:annotationRef/>
      </w:r>
      <w:r>
        <w:t>GCC headcounts and INR50bn/27bn/16bn/18bn revenue labels in the exhibit are estimates. The revenue metric represents estimated service revenue or cost-plus recharge, not India drug sales. GCCs may be separate legal entities. Their scale does not by itself establish a universal 12-24 month launch lag.</w:t>
      </w:r>
    </w:p>
  </w:comment>
  <w:comment w:id="6" w:author="Exhibit review" w:initials="ER" w:date="2026-10-26T12:53:44Z">
    <w:p>
      <w:pPr>
        <w:pStyle w:val="CommentText"/>
      </w:pPr>
      <w:r>
        <w:rPr>
          <w:rStyle w:val="CommentReference"/>
        </w:rPr>
        <w:annotationRef/>
      </w:r>
      <w:r>
        <w:t>Upper-chart shares require a reproducible registry query and cohort dates; they are not a count of all CTRI studies. The six lower-chart numbers imply a median of 16.9 months. Define each first major-market approval consistently and use the same indication/regimen. This is approval lag, not commercial launch lag. A selected recent cohort alone does not prove a historical reduction.</w:t>
      </w:r>
    </w:p>
  </w:comment>
  <w:comment w:id="7" w:author="Exhibit review" w:initials="ER" w:date="2026-10-26T12:53:44Z">
    <w:p>
      <w:pPr>
        <w:pStyle w:val="CommentText"/>
      </w:pPr>
      <w:r>
        <w:rPr>
          <w:rStyle w:val="CommentReference"/>
        </w:rPr>
        <w:annotationRef/>
      </w:r>
      <w:r>
        <w:t>Use CDSCO/SUGAM, not a single DoP approval system. CTRI is a study registry, not the drug regulator. CDSCO's official clinical-trial page lists online OCTAMS notices in 2015 and SUGAM notices in 2016, so CY15 should not be described as entirely paper-based. The registration cohort and CY26 YTD cutoff need an auditable registry query; do not label these figures total CTRI registrations or attribute all growth to digitalisation. Sources: https://www.cdscoonline.gov.in/CDSCO/homepage and https://cdsco.gov.in/opencms/opencms/en/Clinical-Trial/clinical-trials/</w:t>
      </w:r>
    </w:p>
  </w:comment>
  <w:comment w:id="8" w:author="Exhibit review" w:initials="ER" w:date="2026-10-26T12:53:44Z">
    <w:p>
      <w:pPr>
        <w:pStyle w:val="CommentText"/>
      </w:pPr>
      <w:r>
        <w:rPr>
          <w:rStyle w:val="CommentReference"/>
        </w:rPr>
        <w:annotationRef/>
      </w:r>
      <w:r>
        <w:t>Forecasts are taken from the supplied exhibits. Reconcile FY26 historical revenue and EBITDA margin with GSK India's 13 May 2026 analyst presentation, which reports standalone revenue INR37,900mn and EBITDA margin 34.3%. The image appears to use a lower FY26 revenue base. Source: https://india-pharma.gsk.com/media/inhdnswz/analyst-meet-may-2026.pdf</w:t>
      </w:r>
    </w:p>
  </w:comment>
  <w:comment w:id="9" w:author="Exhibit review" w:initials="ER" w:date="2026-10-26T12:53:44Z">
    <w:p>
      <w:pPr>
        <w:pStyle w:val="CommentText"/>
      </w:pPr>
      <w:r>
        <w:rPr>
          <w:rStyle w:val="CommentReference"/>
        </w:rPr>
        <w:annotationRef/>
      </w:r>
      <w:r>
        <w:t>Keep the definitions of heritage portfolio, currently marketed innovation and future launches consistent to avoid double counting. The 9.2% CAGR is the supplied forecast annotation, not management guidance. Confirm the FY26 base against the current model.</w:t>
      </w:r>
    </w:p>
  </w:comment>
  <w:comment w:id="10" w:author="Exhibit review" w:initials="ER" w:date="2026-10-26T12:53:44Z">
    <w:p>
      <w:pPr>
        <w:pStyle w:val="CommentText"/>
      </w:pPr>
      <w:r>
        <w:rPr>
          <w:rStyle w:val="CommentReference"/>
        </w:rPr>
        <w:annotationRef/>
      </w:r>
      <w:r>
        <w:t>INR7bn is an analyst market forecast, not reported sales or management guidance. Distinguish market TAM from GSK brand sales in the right-hand chart; the Shingrix/Arexvy exhibit appears to forecast brand revenue rather than total category TAM. GSK confirmed Arexvy India marketing authorisation in its 3 August 2026 release: https://india-pharma.gsk.com/en-in/media/press-releases/gsk-india-delivers-strong-q1fy27-growth-with-continued-portfolio-transformation-profit-after-tax-pat-grows-24-to-inr-253-crores/</w:t>
      </w:r>
    </w:p>
  </w:comment>
  <w:comment w:id="11" w:author="Exhibit review" w:initials="ER" w:date="2026-10-26T12:53:44Z">
    <w:p>
      <w:pPr>
        <w:pStyle w:val="CommentText"/>
      </w:pPr>
      <w:r>
        <w:rPr>
          <w:rStyle w:val="CommentReference"/>
        </w:rPr>
        <w:annotationRef/>
      </w:r>
      <w:r>
        <w:t>Reconcile the CAGR with the actual FY26 and FY30 endpoint cells. Keep Arexvy forecast contribution separate from launch status. Retain E labels on the bridge and cite the model.</w:t>
      </w:r>
    </w:p>
  </w:comment>
  <w:comment w:id="12" w:author="Exhibit review" w:initials="ER" w:date="2026-10-26T12:53:44Z">
    <w:p>
      <w:pPr>
        <w:pStyle w:val="CommentText"/>
      </w:pPr>
      <w:r>
        <w:rPr>
          <w:rStyle w:val="CommentReference"/>
        </w:rPr>
        <w:annotationRef/>
      </w:r>
      <w:r>
        <w:t>Correct the chart annotation: GSK India had already secured Blenrep marketing authorisation for relapsed/refractory multiple myeloma and described a second-line setting in August 2026. A pending first-line approval is not established by this exhibit and should not be presented as fact. Source: GSK India release, 3 August 2026, https://india-pharma.gsk.com/en-in/media/press-releases/gsk-india-delivers-strong-q1fy27-growth-with-continued-portfolio-transformation-profit-after-tax-pat-grows-24-to-inr-253-crores/</w:t>
      </w:r>
    </w:p>
  </w:comment>
  <w:comment w:id="13" w:author="Exhibit review" w:initials="ER" w:date="2026-10-26T12:53:44Z">
    <w:p>
      <w:pPr>
        <w:pStyle w:val="CommentText"/>
      </w:pPr>
      <w:r>
        <w:rPr>
          <w:rStyle w:val="CommentReference"/>
        </w:rPr>
        <w:annotationRef/>
      </w:r>
      <w:r>
        <w:t>Use ~800 original patients, ~5,200 added and ~6,000 total in the Jemperli waterfall. The supplied image appears not to reconcile its incremental and total bars. GSK reports ~7.5x in its May 2026 analyst presentation: https://india-pharma.gsk.com/media/inhdnswz/analyst-meet-may-2026.pdf. For Blenrep label both arms fully as Blenrep + bortezomib/dexamethasone versus daratumumab + bortezomib/dexamethasone, and identify the 2024 interim DREAMM-7 analysis; the endpoint is PFS, not overall survival. Source: https://www.gsk.com/media/10944/20240201-s-ea-blenrep-dreamm-7-final.pdf</w:t>
      </w:r>
    </w:p>
  </w:comment>
  <w:comment w:id="14" w:author="Exhibit review" w:initials="ER" w:date="2026-10-26T12:53:44Z">
    <w:p>
      <w:pPr>
        <w:pStyle w:val="CommentText"/>
      </w:pPr>
      <w:r>
        <w:rPr>
          <w:rStyle w:val="CommentReference"/>
        </w:rPr>
        <w:annotationRef/>
      </w:r>
      <w:r>
        <w:t>Title-only replacement. Retain the entity portfolio diagram, subject to current brand-by-brand marketing-rights verification. Do not infer that private-entity brands will automatically transfer to Pfizer Limited or that India approval assigns listed-entity commercial rights.</w:t>
      </w:r>
    </w:p>
  </w:comment>
  <w:comment w:id="15" w:author="Exhibit review" w:initials="ER" w:date="2026-10-26T12:53:44Z">
    <w:p>
      <w:pPr>
        <w:pStyle w:val="CommentText"/>
      </w:pPr>
      <w:r>
        <w:rPr>
          <w:rStyle w:val="CommentReference"/>
        </w:rPr>
        <w:annotationRef/>
      </w:r>
      <w:r>
        <w:t>Title-only replacement. Medicines/services are marked E in the chart and should remain estimates unless reconciled to company segment disclosures. The green ovals are IPM growth, not Pfizer's growth. Do not use their rise as evidence of Pfizer accelerating or outperforming IPM.</w:t>
      </w:r>
    </w:p>
  </w:comment>
  <w:comment w:id="16" w:author="Exhibit review" w:initials="ER" w:date="2026-10-26T12:53:44Z">
    <w:p>
      <w:pPr>
        <w:pStyle w:val="CommentText"/>
      </w:pPr>
      <w:r>
        <w:rPr>
          <w:rStyle w:val="CommentReference"/>
        </w:rPr>
        <w:annotationRef/>
      </w:r>
      <w:r>
        <w:t>This exhibit is Pfizer group, not Pfizer Limited. Do not directly attribute the group growth curve to the listed company. State whether monthly growth is YoY or MoM and keep the monthly denominator consistent with IPM. The chart does not establish recent sustained outperformance.</w:t>
      </w:r>
    </w:p>
  </w:comment>
  <w:comment w:id="17" w:author="Exhibit review" w:initials="ER" w:date="2026-10-26T12:53:44Z">
    <w:p>
      <w:pPr>
        <w:pStyle w:val="CommentText"/>
      </w:pPr>
      <w:r>
        <w:rPr>
          <w:rStyle w:val="CommentReference"/>
        </w:rPr>
        <w:annotationRef/>
      </w:r>
      <w:r>
        <w:t>The immuno-onco bar needs an entity and scope check. Oncology brands shown on PDF page 15 sit in the private entity. A modelled future licence/transfer cannot be included as actual FY26 listed oncology sales. Separate immunology from oncology, remove any unverified oncology component and label estimated therapy splits accordingly. Do not present assumed local manufacturing or a transfer as announced.</w:t>
      </w:r>
    </w:p>
  </w:comment>
  <w:comment w:id="18" w:author="Exhibit review" w:initials="ER" w:date="2026-10-26T12:53:44Z">
    <w:p>
      <w:pPr>
        <w:pStyle w:val="CommentText"/>
      </w:pPr>
      <w:r>
        <w:rPr>
          <w:rStyle w:val="CommentReference"/>
        </w:rPr>
        <w:annotationRef/>
      </w:r>
      <w:r>
        <w:t>Check both CAGRs directly against the model endpoints. The image's anti-infective bar heights do not visibly establish 13% over four years, so align the label and totals before publication. Abrysvo is shown as pipeline: retain it as a forecast assumption unless listed-entity launch rights/status are confirmed. Match FY26 estimates to the actual launch dates and avoid double counting Prevenar switching.</w:t>
      </w:r>
    </w:p>
  </w:comment>
  <w:comment w:id="19" w:author="Exhibit review" w:initials="ER" w:date="2026-10-26T12:53:44Z">
    <w:p>
      <w:pPr>
        <w:pStyle w:val="CommentText"/>
      </w:pPr>
      <w:r>
        <w:rPr>
          <w:rStyle w:val="CommentReference"/>
        </w:rPr>
        <w:annotationRef/>
      </w:r>
      <w:r>
        <w:t>Change the margin-bridge unit from INR mn to %. Cost savings and operating leverage/mix are analyst attribution estimates, not separately reported company drivers. The left-hand stack is an aggregate of separate India entities, not a consolidated Pfizer Limited measure. Manufacturing recharges/related-party sales may require eliminations; do not present the sum as external group revenue without checking double counting. Private pharma ~20% CAGR is a forecast.</w:t>
      </w:r>
    </w:p>
  </w:comment>
  <w:comment w:id="20" w:author="Exhibit review" w:initials="ER" w:date="2026-10-26T12:53:44Z">
    <w:p>
      <w:pPr>
        <w:pStyle w:val="CommentText"/>
      </w:pPr>
      <w:r>
        <w:rPr>
          <w:rStyle w:val="CommentReference"/>
        </w:rPr>
        <w:annotationRef/>
      </w:r>
      <w:r>
        <w:t>Use the underlying model to tie the opening revenue, all incremental contributions and closing revenue exactly. Confirm whether Extensior is an existing brand, extension or new launch so the NI classification is consistent. Do not translate a small launch contribution into literally zero new products.</w:t>
      </w:r>
    </w:p>
  </w:comment>
  <w:comment w:id="21" w:author="Exhibit review" w:initials="ER" w:date="2026-10-26T12:53:44Z">
    <w:p>
      <w:pPr>
        <w:pStyle w:val="CommentText"/>
      </w:pPr>
      <w:r>
        <w:rPr>
          <w:rStyle w:val="CommentReference"/>
        </w:rPr>
        <w:annotationRef/>
      </w:r>
      <w:r>
        <w:t>The left-hand axis must be INR per tablet or a clearly specified pack price, not INR mn. Standardise strength, tablet count and MRP date before quoting discounts. The right-hand unit is %, not INR mn; identify the source and denominator as dydrogesterone value share. March 2025 is historical and should not be called current October 2026 share.</w:t>
      </w:r>
    </w:p>
  </w:comment>
  <w:comment w:id="22" w:author="Exhibit review" w:initials="ER" w:date="2026-10-26T12:53:44Z">
    <w:p>
      <w:pPr>
        <w:pStyle w:val="CommentText"/>
      </w:pPr>
      <w:r>
        <w:rPr>
          <w:rStyle w:val="CommentReference"/>
        </w:rPr>
        <w:annotationRef/>
      </w:r>
      <w:r>
        <w:t>The chart spans September 2024 to September 2026, approximately 25 monthly observations, not the past twelve months. Label growth as monthly YoY if that is the source series. Abbott must be the listed entity throughout, with group-level Sun/Mankind comparisons disclosed. Latest numbers are approximate readings of the supplied chart, not independently retrieved IQVIA data.</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200"/>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320" w:after="14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MNC initiation slide titles and bullets</dc:title>
  <dc:subject>Industry GSK Pfizer and Abbott slide copy</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