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Abbott and Trelegy slide copy</w:t>
      </w:r>
    </w:p>
    <w:p>
      <w:pPr>
        <w:spacing w:after="180"/>
      </w:pPr>
      <w:r>
        <w:t>Slide titles, exhibit bullets and chart corrections for the initiation deck.</w:t>
      </w:r>
    </w:p>
    <w:p>
      <w:pPr>
        <w:pStyle w:val="Heading1"/>
      </w:pPr>
      <w:r>
        <w:t>Abbott launch cadence and study registrations</w:t>
      </w:r>
    </w:p>
    <w:p>
      <w:pPr>
        <w:spacing w:after="100"/>
      </w:pPr>
      <w:r>
        <w:rPr>
          <w:b/>
        </w:rPr>
        <w:t>Abbott’s annual launches have halved since FY23, increasing its reliance on established brands to sustain growth</w:t>
      </w:r>
    </w:p>
    <w:p>
      <w:pPr>
        <w:pStyle w:val="ListBullet"/>
      </w:pPr>
      <w:r>
        <w:t>Annual launches declined from 10 in FY23 to five in FY26, reducing the pace of portfolio additions available to supplement established-brand growth.</w:t>
      </w:r>
    </w:p>
    <w:p>
      <w:pPr>
        <w:pStyle w:val="ListBullet"/>
      </w:pPr>
      <w:r>
        <w:t>Existing-brand extensions accounted for 22 of 30 launches across FY23–FY26, with only one to three new brand families added annually, based on our classification.</w:t>
      </w:r>
    </w:p>
    <w:p>
      <w:pPr>
        <w:pStyle w:val="ListBullet"/>
      </w:pPr>
      <w:r>
        <w:t>Abbott’s group-wide trials include healthcare, devices and diagnostics outside the listed entity; the headline registration count therefore does not directly measure Abbott India’s launch pipeline.</w:t>
      </w:r>
    </w:p>
    <w:p>
      <w:pPr>
        <w:spacing w:before="40" w:after="160"/>
      </w:pPr>
      <w:r>
        <w:rPr>
          <w:i/>
          <w:sz w:val="20"/>
        </w:rPr>
        <w:t>Chart corrections: FY23 launches should be 10, and GSK registrations should be 12, consistent with our earlier data. Move the Abbott annotation above Abbott’s bar.</w:t>
      </w:r>
    </w:p>
    <w:p>
      <w:pPr>
        <w:pStyle w:val="Heading1"/>
      </w:pPr>
      <w:r>
        <w:t>Trelegy market resilience</w:t>
      </w:r>
    </w:p>
    <w:p>
      <w:pPr>
        <w:spacing w:after="100"/>
      </w:pPr>
      <w:r>
        <w:rPr>
          <w:b/>
        </w:rPr>
        <w:t>Trelegy sustains share after umeclidinium patent expiry, while Ellipta’s integrated dose preparation supports differentiation in the expanding SITT market</w:t>
      </w:r>
    </w:p>
    <w:p>
      <w:pPr>
        <w:pStyle w:val="ListBullet"/>
      </w:pPr>
      <w:r>
        <w:rPr>
          <w:b/>
        </w:rPr>
        <w:t xml:space="preserve">Expanding SITT opportunity: </w:t>
      </w:r>
      <w:r>
        <w:t>India’s SITT market grew ~60% between Q1CY25 and Q1CY26, expanding the revenue pool available to Trelegy despite generic entry.</w:t>
      </w:r>
    </w:p>
    <w:p>
      <w:pPr>
        <w:pStyle w:val="ListBullet"/>
      </w:pPr>
      <w:r>
        <w:rPr>
          <w:b/>
        </w:rPr>
        <w:t xml:space="preserve">Resilience after patent expiry: </w:t>
      </w:r>
      <w:r>
        <w:t>Trelegy maintained share following umeclidinium’s loss of exclusivity, suggesting established prescribing and device familiarity can support brand retention.</w:t>
      </w:r>
    </w:p>
    <w:p>
      <w:pPr>
        <w:spacing w:before="40" w:after="160"/>
      </w:pPr>
      <w:r>
        <w:rPr>
          <w:i/>
          <w:sz w:val="20"/>
        </w:rPr>
        <w:t>Chart correction: The plotted ~5% to ~12% share refers to the FF/UMEC/VI combination, not Trelegy alone; amend the chart label accordingly.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Abbott and Trelegy slide copy</dc:title>
  <dc:subject>Initiation deck titles and exhibit bullets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