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Sanofi India Limited</w:t>
      </w:r>
    </w:p>
    <w:p>
      <w:pPr>
        <w:pStyle w:val="Title"/>
      </w:pPr>
      <w:r>
        <w:rPr>
          <w:color w:val="5B2C83"/>
        </w:rPr>
        <w:t>The listed company is a diabetes franchise, not a miniature global Sanofi</w:t>
      </w:r>
    </w:p>
    <w:p>
      <w:pPr>
        <w:pStyle w:val="Subtitle"/>
      </w:pPr>
      <w:r>
        <w:t>End-to-end institutional research primer | Bottom-up business, product, financial, governance and valuation analysis</w:t>
      </w:r>
    </w:p>
    <w:p/>
    <w:tbl>
      <w:tblPr>
        <w:tblW w:type="auto" w:w="0"/>
        <w:jc w:val="center"/>
        <w:tblLayout w:type="fixed"/>
        <w:tblLook w:firstColumn="1" w:firstRow="1" w:lastColumn="0" w:lastRow="0" w:noHBand="0" w:noVBand="1" w:val="04A0"/>
      </w:tblPr>
      <w:tblGrid>
        <w:gridCol w:w="10166"/>
      </w:tblGrid>
      <w:tr>
        <w:tc>
          <w:tcPr>
            <w:tcW w:type="dxa" w:w="9576"/>
            <w:shd w:fill="F7F4FA"/>
            <w:tcBorders>
              <w:top w:val="single" w:sz="10" w:space="0" w:color="5B2C83"/>
              <w:left w:val="single" w:sz="10" w:space="0" w:color="5B2C83"/>
              <w:bottom w:val="single" w:sz="10" w:space="0" w:color="5B2C83"/>
              <w:right w:val="single" w:sz="10" w:space="0" w:color="5B2C83"/>
              <w:insideH w:val="single" w:sz="10" w:space="0" w:color="5B2C83"/>
              <w:insideV w:val="single" w:sz="10" w:space="0" w:color="5B2C83"/>
            </w:tcBorders>
            <w:tcMar>
              <w:top w:w="110" w:type="dxa"/>
              <w:start w:w="150" w:type="dxa"/>
              <w:bottom w:w="110" w:type="dxa"/>
              <w:end w:w="150" w:type="dxa"/>
            </w:tcMar>
          </w:tcPr>
          <w:p>
            <w:pPr>
              <w:spacing w:after="60"/>
            </w:pPr>
            <w:r>
              <w:rPr>
                <w:b/>
                <w:color w:val="5B2C83"/>
                <w:sz w:val="20"/>
              </w:rPr>
              <w:t>Core conclusion</w:t>
            </w:r>
          </w:p>
          <w:p>
            <w:pPr>
              <w:spacing w:after="0" w:line="252" w:lineRule="auto"/>
            </w:pPr>
            <w:r>
              <w:rPr>
                <w:color w:val="1C1C1C"/>
                <w:sz w:val="18"/>
              </w:rPr>
              <w:t>The clean way to underwrite Sanofi India is as a high-return, cash-generative, ex-growth MNC pharma platform attempting to become a focused insulin compounder. The current rerating question is whether double-digit insulin growth can more than offset structurally slower partner brands and a shrinking export book. The stock should not be valued on Sanofi global pipeline news unless the listed entity receives explicit commercial rights.</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8"/>
              </w:rPr>
              <w:t>Snapshot</w:t>
            </w:r>
          </w:p>
        </w:tc>
        <w:tc>
          <w:tcPr>
            <w:tcW w:type="dxa" w:w="619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8"/>
              </w:rPr>
              <w:t>As of 16 Sep 2026</w:t>
            </w:r>
          </w:p>
        </w:tc>
      </w:tr>
      <w:tr>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NSE / BSE</w:t>
            </w:r>
          </w:p>
        </w:tc>
        <w:tc>
          <w:tcPr>
            <w:tcW w:type="dxa" w:w="61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SANOFI / 500674</w:t>
            </w:r>
          </w:p>
        </w:tc>
      </w:tr>
      <w:tr>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Share price</w:t>
            </w:r>
          </w:p>
        </w:tc>
        <w:tc>
          <w:tcPr>
            <w:tcW w:type="dxa" w:w="61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about ₹3,131</w:t>
            </w:r>
          </w:p>
        </w:tc>
      </w:tr>
      <w:tr>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Market capitalization</w:t>
            </w:r>
          </w:p>
        </w:tc>
        <w:tc>
          <w:tcPr>
            <w:tcW w:type="dxa" w:w="61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about ₹7,211 crore</w:t>
            </w:r>
          </w:p>
        </w:tc>
      </w:tr>
      <w:tr>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Promoter holding</w:t>
            </w:r>
          </w:p>
        </w:tc>
        <w:tc>
          <w:tcPr>
            <w:tcW w:type="dxa" w:w="61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60.40%</w:t>
            </w:r>
          </w:p>
        </w:tc>
      </w:tr>
      <w:tr>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LTM EPS to Jun-26</w:t>
            </w:r>
          </w:p>
        </w:tc>
        <w:tc>
          <w:tcPr>
            <w:tcW w:type="dxa" w:w="61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about ₹140.6</w:t>
            </w:r>
          </w:p>
        </w:tc>
      </w:tr>
      <w:tr>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LTM P/E</w:t>
            </w:r>
          </w:p>
        </w:tc>
        <w:tc>
          <w:tcPr>
            <w:tcW w:type="dxa" w:w="61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about 22.3x</w:t>
            </w:r>
          </w:p>
        </w:tc>
      </w:tr>
      <w:tr>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CY25 dividend / yield</w:t>
            </w:r>
          </w:p>
        </w:tc>
        <w:tc>
          <w:tcPr>
            <w:tcW w:type="dxa" w:w="61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₹123 / about 3.9%</w:t>
            </w:r>
          </w:p>
        </w:tc>
      </w:tr>
      <w:tr>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Primary analytical date</w:t>
            </w:r>
          </w:p>
        </w:tc>
        <w:tc>
          <w:tcPr>
            <w:tcW w:type="dxa" w:w="61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8"/>
              </w:rPr>
              <w:t>Q2 and H1 CY26 results</w:t>
            </w:r>
          </w:p>
        </w:tc>
      </w:tr>
    </w:tbl>
    <w:p>
      <w:pPr>
        <w:spacing w:after="20"/>
      </w:pPr>
    </w:p>
    <w:p>
      <w:pPr>
        <w:jc w:val="center"/>
      </w:pPr>
      <w:r>
        <w:rPr>
          <w:i/>
          <w:color w:val="5D6673"/>
          <w:sz w:val="16"/>
        </w:rPr>
        <w:t>Prepared from public information. All forecasts and valuation scenarios are illustrative analyst estimates, not company guidance.</w:t>
      </w:r>
    </w:p>
    <w:p>
      <w:r>
        <w:br w:type="page"/>
      </w:r>
    </w:p>
    <w:p>
      <w:pPr>
        <w:pStyle w:val="Heading1"/>
      </w:pPr>
      <w:r>
        <w:t>Contents</w:t>
      </w:r>
    </w:p>
    <w:p>
      <w:pPr>
        <w:pStyle w:val="ListNumber"/>
        <w:spacing w:after="40"/>
      </w:pPr>
      <w:r>
        <w:rPr>
          <w:b/>
        </w:rPr>
        <w:t xml:space="preserve">1. </w:t>
      </w:r>
      <w:r>
        <w:t>Investment summary and the stock debate</w:t>
      </w:r>
    </w:p>
    <w:p>
      <w:pPr>
        <w:pStyle w:val="ListNumber"/>
        <w:spacing w:after="40"/>
      </w:pPr>
      <w:r>
        <w:rPr>
          <w:b/>
        </w:rPr>
        <w:t xml:space="preserve">2. </w:t>
      </w:r>
      <w:r>
        <w:t>Entity perimeter: what shareholders actually own</w:t>
      </w:r>
    </w:p>
    <w:p>
      <w:pPr>
        <w:pStyle w:val="ListNumber"/>
        <w:spacing w:after="40"/>
      </w:pPr>
      <w:r>
        <w:rPr>
          <w:b/>
        </w:rPr>
        <w:t xml:space="preserve">3. </w:t>
      </w:r>
      <w:r>
        <w:t>History, ownership and corporate architecture</w:t>
      </w:r>
    </w:p>
    <w:p>
      <w:pPr>
        <w:pStyle w:val="ListNumber"/>
        <w:spacing w:after="40"/>
      </w:pPr>
      <w:r>
        <w:rPr>
          <w:b/>
        </w:rPr>
        <w:t xml:space="preserve">4. </w:t>
      </w:r>
      <w:r>
        <w:t>Business model from first principles</w:t>
      </w:r>
    </w:p>
    <w:p>
      <w:pPr>
        <w:pStyle w:val="ListNumber"/>
        <w:spacing w:after="40"/>
      </w:pPr>
      <w:r>
        <w:rPr>
          <w:b/>
        </w:rPr>
        <w:t xml:space="preserve">5. </w:t>
      </w:r>
      <w:r>
        <w:t>Portfolio map and product deep dives</w:t>
      </w:r>
    </w:p>
    <w:p>
      <w:pPr>
        <w:pStyle w:val="ListNumber"/>
        <w:spacing w:after="40"/>
      </w:pPr>
      <w:r>
        <w:rPr>
          <w:b/>
        </w:rPr>
        <w:t xml:space="preserve">6. </w:t>
      </w:r>
      <w:r>
        <w:t>India diabetes market and competitive structure</w:t>
      </w:r>
    </w:p>
    <w:p>
      <w:pPr>
        <w:pStyle w:val="ListNumber"/>
        <w:spacing w:after="40"/>
      </w:pPr>
      <w:r>
        <w:rPr>
          <w:b/>
        </w:rPr>
        <w:t xml:space="preserve">7. </w:t>
      </w:r>
      <w:r>
        <w:t>Partnerships: attractive economics or strategic retreat?</w:t>
      </w:r>
    </w:p>
    <w:p>
      <w:pPr>
        <w:pStyle w:val="ListNumber"/>
        <w:spacing w:after="40"/>
      </w:pPr>
      <w:r>
        <w:rPr>
          <w:b/>
        </w:rPr>
        <w:t xml:space="preserve">8. </w:t>
      </w:r>
      <w:r>
        <w:t>Manufacturing and exports: Goa after the Zentiva cliff</w:t>
      </w:r>
    </w:p>
    <w:p>
      <w:pPr>
        <w:pStyle w:val="ListNumber"/>
        <w:spacing w:after="40"/>
      </w:pPr>
      <w:r>
        <w:rPr>
          <w:b/>
        </w:rPr>
        <w:t xml:space="preserve">9. </w:t>
      </w:r>
      <w:r>
        <w:t>Financial history, earnings quality and cash conversion</w:t>
      </w:r>
    </w:p>
    <w:p>
      <w:pPr>
        <w:pStyle w:val="ListNumber"/>
        <w:spacing w:after="40"/>
      </w:pPr>
      <w:r>
        <w:rPr>
          <w:b/>
        </w:rPr>
        <w:t xml:space="preserve">10. </w:t>
      </w:r>
      <w:r>
        <w:t>Bottom-up earnings framework and scenarios</w:t>
      </w:r>
    </w:p>
    <w:p>
      <w:pPr>
        <w:pStyle w:val="ListNumber"/>
        <w:spacing w:after="40"/>
      </w:pPr>
      <w:r>
        <w:rPr>
          <w:b/>
        </w:rPr>
        <w:t xml:space="preserve">11. </w:t>
      </w:r>
      <w:r>
        <w:t>Valuation, capital allocation and peer context</w:t>
      </w:r>
    </w:p>
    <w:p>
      <w:pPr>
        <w:pStyle w:val="ListNumber"/>
        <w:spacing w:after="40"/>
      </w:pPr>
      <w:r>
        <w:rPr>
          <w:b/>
        </w:rPr>
        <w:t xml:space="preserve">12. </w:t>
      </w:r>
      <w:r>
        <w:t>Governance, related parties, litigation and disclosure</w:t>
      </w:r>
    </w:p>
    <w:p>
      <w:pPr>
        <w:pStyle w:val="ListNumber"/>
        <w:spacing w:after="40"/>
      </w:pPr>
      <w:r>
        <w:rPr>
          <w:b/>
        </w:rPr>
        <w:t xml:space="preserve">13. </w:t>
      </w:r>
      <w:r>
        <w:t>Top controversies and falsifiable stock debates</w:t>
      </w:r>
    </w:p>
    <w:p>
      <w:pPr>
        <w:pStyle w:val="ListNumber"/>
        <w:spacing w:after="40"/>
      </w:pPr>
      <w:r>
        <w:rPr>
          <w:b/>
        </w:rPr>
        <w:t xml:space="preserve">14. </w:t>
      </w:r>
      <w:r>
        <w:t>Catalysts, monitoring dashboard and IR questions</w:t>
      </w:r>
    </w:p>
    <w:p>
      <w:pPr>
        <w:pStyle w:val="ListNumber"/>
        <w:spacing w:after="40"/>
      </w:pPr>
      <w:r>
        <w:rPr>
          <w:b/>
        </w:rPr>
        <w:t xml:space="preserve">15. </w:t>
      </w:r>
      <w:r>
        <w:t>Final framework: what would make the stock work?</w:t>
      </w:r>
    </w:p>
    <w:p>
      <w:pPr>
        <w:pStyle w:val="ListNumber"/>
        <w:spacing w:after="40"/>
      </w:pPr>
      <w:r>
        <w:t>Appendices: glossary, calculation notes and sources</w:t>
      </w:r>
    </w:p>
    <w:tbl>
      <w:tblPr>
        <w:tblW w:type="auto" w:w="0"/>
        <w:jc w:val="center"/>
        <w:tblLayout w:type="fixed"/>
        <w:tblLook w:firstColumn="1" w:firstRow="1" w:lastColumn="0" w:lastRow="0" w:noHBand="0" w:noVBand="1" w:val="04A0"/>
      </w:tblPr>
      <w:tblGrid>
        <w:gridCol w:w="10166"/>
      </w:tblGrid>
      <w:tr>
        <w:tc>
          <w:tcPr>
            <w:tcW w:type="dxa" w:w="9576"/>
            <w:shd w:fill="F5F6F8"/>
            <w:tcBorders>
              <w:top w:val="single" w:sz="10" w:space="0" w:color="26364A"/>
              <w:left w:val="single" w:sz="10" w:space="0" w:color="26364A"/>
              <w:bottom w:val="single" w:sz="10" w:space="0" w:color="26364A"/>
              <w:right w:val="single" w:sz="10" w:space="0" w:color="26364A"/>
              <w:insideH w:val="single" w:sz="10" w:space="0" w:color="26364A"/>
              <w:insideV w:val="single" w:sz="10" w:space="0" w:color="26364A"/>
            </w:tcBorders>
            <w:tcMar>
              <w:top w:w="110" w:type="dxa"/>
              <w:start w:w="150" w:type="dxa"/>
              <w:bottom w:w="110" w:type="dxa"/>
              <w:end w:w="150" w:type="dxa"/>
            </w:tcMar>
          </w:tcPr>
          <w:p>
            <w:pPr>
              <w:spacing w:after="60"/>
            </w:pPr>
            <w:r>
              <w:rPr>
                <w:b/>
                <w:color w:val="26364A"/>
                <w:sz w:val="20"/>
              </w:rPr>
              <w:t>How to use this primer</w:t>
            </w:r>
          </w:p>
          <w:p>
            <w:pPr>
              <w:spacing w:after="0" w:line="252" w:lineRule="auto"/>
            </w:pPr>
            <w:r>
              <w:rPr>
                <w:color w:val="1C1C1C"/>
                <w:sz w:val="18"/>
              </w:rPr>
              <w:t>Read Sections 1 and 2 first. They define the stock and remove the most common analytical error: confusing the listed company with the wider Sanofi group in India. Then use Sections 5 to 10 to build the operating model. Sections 12 to 14 are designed as a diligence checklist for management meetings and future result updates.</w:t>
            </w:r>
          </w:p>
        </w:tc>
      </w:tr>
    </w:tbl>
    <w:p>
      <w:pPr>
        <w:spacing w:after="20"/>
      </w:pPr>
    </w:p>
    <w:p>
      <w:pPr>
        <w:pStyle w:val="Heading1"/>
        <w:pageBreakBefore/>
      </w:pPr>
      <w:r>
        <w:t>1. Investment summary and the stock debate</w:t>
      </w:r>
    </w:p>
    <w:p>
      <w:pPr>
        <w:pStyle w:val="Subtitle"/>
      </w:pPr>
      <w:r>
        <w:t>A focused insulin leader is emerging from several years of portfolio pruning, but the quality of the new growth engine is not yet proven.</w:t>
      </w:r>
    </w:p>
    <w:p>
      <w:pPr>
        <w:pStyle w:val="Heading2"/>
      </w:pPr>
      <w:r>
        <w:t>The shortest possible thesis</w:t>
      </w:r>
    </w:p>
    <w:p>
      <w:pPr>
        <w:spacing w:after="80" w:line="259" w:lineRule="auto"/>
      </w:pPr>
      <w:r>
        <w:t>Sanofi India owns one genuinely advantaged asset: an entrenched basal-insulin franchise led by Lantus and Toujeo, reinforced by Apidra, Soliqua, delivery devices, patient support, real-world evidence and growing access to public institutions. In Q2 CY26, domestic insulin sales rose 14% and represented 57% of domestic sales. The company reported 58% value share and 61% volume share in basal analogues for the 12 months to June 2026. This is a real franchise, not merely a heritage brand portfolio.</w:t>
      </w:r>
    </w:p>
    <w:p>
      <w:pPr>
        <w:spacing w:after="80" w:line="259" w:lineRule="auto"/>
      </w:pPr>
      <w:r>
        <w:t>Everything else in the stock should be underwritten more conservatively. Mature cardiovascular, CNS, anti-infective and oral diabetes brands are increasingly commercialized through Emcure and Cipla. Q2 partnership sales grew only 2%, and management does not expect market growth until perhaps CY27. Exports fell 40% in CY25 as transitional codeine-product supply to Zentiva ended, and competition in Australia remains difficult. Meanwhile, specialty medicines, vaccines, the Hyderabad global capability centre and most of Sanofi global R&amp;D do not automatically belong to the listed company.</w:t>
      </w:r>
    </w:p>
    <w:p>
      <w:pPr>
        <w:spacing w:after="80" w:line="259" w:lineRule="auto"/>
      </w:pPr>
      <w:r>
        <w:t>The stock therefore sits between two identities. The bull case sees an underappreciated insulin compounder with a clean balance sheet, high returns and a 4% dividend yield. The bear case sees a shrinking legacy platform where cost cuts and dividends disguise a lack of reinvestment and a narrow local pipeline. The base case is somewhere in the middle: insulin can restore mid-single-digit company growth, but a sustained premium multiple needs better evidence on partner-brand growth, export replacement and product allocation from the parent.</w:t>
      </w:r>
    </w:p>
    <w:p>
      <w:pPr>
        <w:pStyle w:val="Heading2"/>
      </w:pPr>
      <w:r>
        <w:t>Twelve numbers that frame the company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Metric</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Latest fact</w:t>
            </w:r>
          </w:p>
        </w:tc>
        <w:tc>
          <w:tcPr>
            <w:tcW w:type="dxa" w:w="482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Why it matters</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Promoter ownership</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60.40%</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Parent control is clear; minority value depends on product allocation and related-party economics.</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revenue from operations</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₹1,837.4cr, down 8.7%</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The top line is smaller after demerger and the Zentiva export cliff.</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domestic revenue</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₹1,592.9cr, roughly flat</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Domestic resilience masked the export decline.</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PBT before exceptional items</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₹472.0cr, up 0.6%</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Cost reduction offset revenue loss.</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EBITDA margin</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27.8%</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Up about 260bp despite stable gross margin.</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H1 CY26 insulin growth</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+17%</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The only clearly accelerating large engine.</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Q2 CY26 domestic mix</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57% insulin; 41% partnerships</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The company is effectively a two-engine model.</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Basal analogue share</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58% value; 61% volume</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Strong prescribing and distribution moat.</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Emcure revenue concentration</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₹503.6cr; 27% of total revenue</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Partner concentration has become material.</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top two customers</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about 40% of revenue</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Emcure plus Sanofi Singapore create concentration risk.</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Jun-26 cash</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₹359.0cr</w:t>
            </w:r>
          </w:p>
        </w:tc>
        <w:tc>
          <w:tcPr>
            <w:tcW w:type="dxa" w:w="48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The company is net cash and has dividend capacity.</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valuation</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about 22.3x earnings</w:t>
            </w:r>
          </w:p>
        </w:tc>
        <w:tc>
          <w:tcPr>
            <w:tcW w:type="dxa" w:w="48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Cheaper than most high-quality India MNC pharma peers, but with weaker growth visibility.</w:t>
            </w:r>
          </w:p>
        </w:tc>
      </w:tr>
    </w:tbl>
    <w:p>
      <w:pPr>
        <w:spacing w:after="20"/>
      </w:pPr>
    </w:p>
    <w:p>
      <w:pPr>
        <w:pStyle w:val="Heading2"/>
      </w:pPr>
      <w:r>
        <w:t>Bull, bear and variant perception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39"/>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Bull case</w:t>
            </w:r>
          </w:p>
        </w:tc>
        <w:tc>
          <w:tcPr>
            <w:tcW w:type="dxa" w:w="3139"/>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Bear case</w:t>
            </w:r>
          </w:p>
        </w:tc>
        <w:tc>
          <w:tcPr>
            <w:tcW w:type="dxa" w:w="3139"/>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What the market may be missing</w:t>
            </w:r>
          </w:p>
        </w:tc>
      </w:tr>
      <w:tr>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growth stays double digit as public-sector access, Toujeo mix and Soliqua adoption expand. Partnerships normalize in CY27. Goa replaces lost export volume. Margins hold near 28-29%.</w:t>
            </w:r>
          </w:p>
        </w:tc>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Lantus faces price control and biosimilars; Awiqli and GLP-1s delay daily insulin. Partner brands remain below market. Export utilization falls. Parent allocates innovation to private entities.</w:t>
            </w:r>
          </w:p>
        </w:tc>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The stock may be pricing Sanofi India as a slow legacy MNC. If insulin can compound above market and partner sell-out improves without rebuilding fixed costs, earnings growth can exceed revenue growth.</w:t>
            </w:r>
          </w:p>
        </w:tc>
      </w:tr>
      <w:tr>
        <w:tc>
          <w:tcPr>
            <w:tcW w:type="dxa" w:w="3139"/>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High cash conversion and low capex support a dependable dividend floor.</w:t>
            </w:r>
          </w:p>
        </w:tc>
        <w:tc>
          <w:tcPr>
            <w:tcW w:type="dxa" w:w="3139"/>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High payout is a symptom of limited reinvestment. Net worth has fallen sharply because value has been distributed or demerged.</w:t>
            </w:r>
          </w:p>
        </w:tc>
        <w:tc>
          <w:tcPr>
            <w:tcW w:type="dxa" w:w="3139"/>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Dividend yield creates carry, but valuation rerating requires evidence of reinvestable growth, not merely payout.</w:t>
            </w:r>
          </w:p>
        </w:tc>
      </w:tr>
      <w:tr>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Parent scale provides quality, supply and future optionality.</w:t>
            </w:r>
          </w:p>
        </w:tc>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Parent scale is not the same as listedco entitlement. Dupixent, Rezurock, vaccines and GCC investment sit outside or are not demonstrated to sit inside SIL.</w:t>
            </w:r>
          </w:p>
        </w:tc>
        <w:tc>
          <w:tcPr>
            <w:tcW w:type="dxa" w:w="3139"/>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Correct entity-perimeter work can prevent both overvaluation and missed optionality when an explicit SIL allocation is announced.</w:t>
            </w:r>
          </w:p>
        </w:tc>
      </w:tr>
    </w:tbl>
    <w:p>
      <w:pPr>
        <w:spacing w:after="20"/>
      </w:pPr>
    </w:p>
    <w:p>
      <w:pPr>
        <w:pStyle w:val="Heading2"/>
      </w:pPr>
      <w:r>
        <w:t>What must happen for the stock to work</w:t>
      </w:r>
    </w:p>
    <w:p>
      <w:pPr>
        <w:pStyle w:val="ListBullet"/>
        <w:spacing w:after="40"/>
        <w:ind w:left="0"/>
      </w:pPr>
      <w:r>
        <w:rPr>
          <w:b/>
        </w:rPr>
        <w:t xml:space="preserve">Insulin remains the growth leader. </w:t>
      </w:r>
      <w:r>
        <w:t>Lantus volume must stay positive, Toujeo must mix up, and Soliqua must become meaningful without simply cannibalizing Lantus.</w:t>
      </w:r>
    </w:p>
    <w:p>
      <w:pPr>
        <w:pStyle w:val="ListBullet"/>
        <w:spacing w:after="40"/>
        <w:ind w:left="0"/>
      </w:pPr>
      <w:r>
        <w:rPr>
          <w:b/>
        </w:rPr>
        <w:t xml:space="preserve">Partnership sell-out reaches market growth. </w:t>
      </w:r>
      <w:r>
        <w:t>Primary sales volatility needs to disappear and Emcure/Cipla secondary sales need to approach therapy growth by CY27.</w:t>
      </w:r>
    </w:p>
    <w:p>
      <w:pPr>
        <w:pStyle w:val="ListBullet"/>
        <w:spacing w:after="40"/>
        <w:ind w:left="0"/>
      </w:pPr>
      <w:r>
        <w:rPr>
          <w:b/>
        </w:rPr>
        <w:t xml:space="preserve">Goa fills the hole. </w:t>
      </w:r>
      <w:r>
        <w:t>New Sanofi transfers, tenders and insourcing must offset mature-market losses without eroding margins.</w:t>
      </w:r>
    </w:p>
    <w:p>
      <w:pPr>
        <w:pStyle w:val="ListBullet"/>
        <w:spacing w:after="40"/>
        <w:ind w:left="0"/>
      </w:pPr>
      <w:r>
        <w:rPr>
          <w:b/>
        </w:rPr>
        <w:t xml:space="preserve">The parent provides visible listedco optionality. </w:t>
      </w:r>
      <w:r>
        <w:t>A named diabetes asset, device or localized product must be allocated to SIL with disclosed economics.</w:t>
      </w:r>
    </w:p>
    <w:p>
      <w:pPr>
        <w:pStyle w:val="ListBullet"/>
        <w:spacing w:after="40"/>
        <w:ind w:left="0"/>
      </w:pPr>
      <w:r>
        <w:rPr>
          <w:b/>
        </w:rPr>
        <w:t xml:space="preserve">Margins are defended through mix, not repeated restructuring. </w:t>
      </w:r>
      <w:r>
        <w:t>Opex has already been cut; the next earnings leg needs gross-profit growth.</w:t>
      </w:r>
    </w:p>
    <w:p>
      <w:pPr>
        <w:pStyle w:val="Heading1"/>
        <w:pageBreakBefore/>
      </w:pPr>
      <w:r>
        <w:t>2. Entity perimeter: what shareholders actually own</w:t>
      </w:r>
    </w:p>
    <w:p>
      <w:pPr>
        <w:pStyle w:val="Subtitle"/>
      </w:pPr>
      <w:r>
        <w:t>This is the most important section in the primer because Sanofi India is only one of several Sanofi entities operating in India.</w:t>
      </w:r>
    </w:p>
    <w:p>
      <w:pPr>
        <w:pStyle w:val="Heading2"/>
      </w:pPr>
      <w:r>
        <w:t>The listed ticker does not capture the full Sanofi India story</w:t>
      </w:r>
    </w:p>
    <w:p>
      <w:pPr>
        <w:spacing w:after="80" w:line="259" w:lineRule="auto"/>
      </w:pPr>
      <w:r>
        <w:t>Sanofi communicates under a broad country brand, but the economic perimeter is split. Sanofi India Limited, or SIL, is the listed company. Sanofi Healthcare India Private Limited, or SHIPL, is a private group entity that houses or supports specialty care, rare disease, vaccines and global services. Sanofi Consumer Healthcare India Limited, or SCHIL, received the demerged consumer-health business and is separately listed. Press releases often use “Sanofi India” generically, so an analyst must identify the contracting legal entity before assigning any revenue or valuation to SANOFI.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Economic asset / headline</w:t>
            </w:r>
          </w:p>
        </w:tc>
        <w:tc>
          <w:tcPr>
            <w:tcW w:type="dxa" w:w="309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Most relevant entity</w:t>
            </w:r>
          </w:p>
        </w:tc>
        <w:tc>
          <w:tcPr>
            <w:tcW w:type="dxa" w:w="324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Treatment in SANOFI model</w:t>
            </w:r>
          </w:p>
        </w:tc>
      </w:tr>
      <w:tr>
        <w:tc>
          <w:tcPr>
            <w:tcW w:type="dxa" w:w="30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Lantus, Toujeo, Apidra, Soliqua and insulin devices</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India Limited</w:t>
            </w:r>
          </w:p>
        </w:tc>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Core listedco earnings. Soliqua launch release explicitly names SIL.</w:t>
            </w:r>
          </w:p>
        </w:tc>
      </w:tr>
      <w:tr>
        <w:tc>
          <w:tcPr>
            <w:tcW w:type="dxa" w:w="30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Amaryl and Cetapin oral diabetes brands</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SIL owns/manufactures; Emcure promotes/distributes</w:t>
            </w:r>
          </w:p>
        </w:tc>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Listedco primary sales, subject to partner inventory and transfer economics.</w:t>
            </w:r>
          </w:p>
        </w:tc>
      </w:tr>
      <w:tr>
        <w:tc>
          <w:tcPr>
            <w:tcW w:type="dxa" w:w="30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Cardace, Clexane, Targocid, Lasix and Lasilactone</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SIL owns/imports/manufactures; Emcure promotes/distributes</w:t>
            </w:r>
          </w:p>
        </w:tc>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Listedco primary sales. Initial CV agreement runs five years from March 2024.</w:t>
            </w:r>
          </w:p>
        </w:tc>
      </w:tr>
      <w:tr>
        <w:tc>
          <w:tcPr>
            <w:tcW w:type="dxa" w:w="30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Six CNS brands including Frisium</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SIL / Sanofi India portfolio; Cipla promotes/distributes</w:t>
            </w:r>
          </w:p>
        </w:tc>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Treat as listedco partnership revenue where confirmed; product-level disclosure is limited.</w:t>
            </w:r>
          </w:p>
        </w:tc>
      </w:tr>
      <w:tr>
        <w:tc>
          <w:tcPr>
            <w:tcW w:type="dxa" w:w="30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Goa manufacturing and export supply</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India Limited</w:t>
            </w:r>
          </w:p>
        </w:tc>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Core listedco asset and export earnings.</w:t>
            </w:r>
          </w:p>
        </w:tc>
      </w:tr>
      <w:tr>
        <w:tc>
          <w:tcPr>
            <w:tcW w:type="dxa" w:w="30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Hyderabad global capability centre investment</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Healthcare India Pvt Ltd</w:t>
            </w:r>
          </w:p>
        </w:tc>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Exclude from SIL capex and earnings except disclosed intercompany service transactions.</w:t>
            </w:r>
          </w:p>
        </w:tc>
      </w:tr>
      <w:tr>
        <w:tc>
          <w:tcPr>
            <w:tcW w:type="dxa" w:w="30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Rezurock</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Healthcare India Pvt Ltd</w:t>
            </w:r>
          </w:p>
        </w:tc>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Exclude from SIL. The approval release explicitly names SHIPL.</w:t>
            </w:r>
          </w:p>
        </w:tc>
      </w:tr>
      <w:tr>
        <w:tc>
          <w:tcPr>
            <w:tcW w:type="dxa" w:w="30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Dupixent and most specialty-care pipeline</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Historically outside SIL specialty perimeter</w:t>
            </w:r>
          </w:p>
        </w:tc>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Do not capitalize into SIL without a new legal-entity disclosure.</w:t>
            </w:r>
          </w:p>
        </w:tc>
      </w:tr>
      <w:tr>
        <w:tc>
          <w:tcPr>
            <w:tcW w:type="dxa" w:w="30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Vaccines, including Beyfortus</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Group vaccine/private-company perimeter, not demonstrated as SIL</w:t>
            </w:r>
          </w:p>
        </w:tc>
        <w:tc>
          <w:tcPr>
            <w:tcW w:type="dxa" w:w="32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Exclude unless SIL financials or a contract explicitly show economics.</w:t>
            </w:r>
          </w:p>
        </w:tc>
      </w:tr>
      <w:tr>
        <w:tc>
          <w:tcPr>
            <w:tcW w:type="dxa" w:w="30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Allegra, Combiflam, DePURA and consumer-health assets</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Consumer Healthcare India Ltd after 1 Jun 2024</w:t>
            </w:r>
          </w:p>
        </w:tc>
        <w:tc>
          <w:tcPr>
            <w:tcW w:type="dxa" w:w="32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Exclude from continuing SIL earnings. Shareholders received SCHIL shares 1:1.</w:t>
            </w:r>
          </w:p>
        </w:tc>
      </w:tr>
    </w:tbl>
    <w:p>
      <w:pPr>
        <w:spacing w:after="20"/>
      </w:pPr>
    </w:p>
    <w:p>
      <w:pPr>
        <w:pStyle w:val="Heading2"/>
      </w:pPr>
      <w:r>
        <w:t>Why the perimeter creates recurring stock errors</w:t>
      </w:r>
    </w:p>
    <w:p>
      <w:pPr>
        <w:pStyle w:val="ListNumber"/>
        <w:spacing w:after="40"/>
      </w:pPr>
      <w:r>
        <w:rPr>
          <w:b/>
        </w:rPr>
        <w:t xml:space="preserve">Global pipeline leakage. </w:t>
      </w:r>
      <w:r>
        <w:t>Investors see positive Dupixent, vaccine or rare-disease news and assume SIL captures Indian commercialization. Historical company disclosure says SIL had no specialty or vaccine business, and current releases often identify SHIPL.</w:t>
      </w:r>
    </w:p>
    <w:p>
      <w:pPr>
        <w:pStyle w:val="ListNumber"/>
        <w:spacing w:after="40"/>
      </w:pPr>
      <w:r>
        <w:rPr>
          <w:b/>
        </w:rPr>
        <w:t xml:space="preserve">GCC headline leakage. </w:t>
      </w:r>
      <w:r>
        <w:t>The announced €400 million Hyderabad investment and workforce expansion belong to SHIPL. They are economically important to Sanofi in India, but they are not a capex or growth driver for SIL.</w:t>
      </w:r>
    </w:p>
    <w:p>
      <w:pPr>
        <w:pStyle w:val="ListNumber"/>
        <w:spacing w:after="40"/>
      </w:pPr>
      <w:r>
        <w:rPr>
          <w:b/>
        </w:rPr>
        <w:t xml:space="preserve">Country-brand ambiguity. </w:t>
      </w:r>
      <w:r>
        <w:t>The website combines products and prescribing information across SIL and SHIPL. A product appearing on the India website is not proof that it sits in the listed company.</w:t>
      </w:r>
    </w:p>
    <w:p>
      <w:pPr>
        <w:pStyle w:val="ListNumber"/>
        <w:spacing w:after="40"/>
      </w:pPr>
      <w:r>
        <w:rPr>
          <w:b/>
        </w:rPr>
        <w:t xml:space="preserve">Intercompany-service confusion. </w:t>
      </w:r>
      <w:r>
        <w:t>SIL does earn service income from private entities. That does not make SIL the owner of their underlying assets or revenue streams.</w:t>
      </w:r>
    </w:p>
    <w:p>
      <w:pPr>
        <w:pStyle w:val="ListNumber"/>
        <w:spacing w:after="40"/>
      </w:pPr>
      <w:r>
        <w:rPr>
          <w:b/>
        </w:rPr>
        <w:t xml:space="preserve">Optionality without entitlement. </w:t>
      </w:r>
      <w:r>
        <w:t>Parent ownership may help SIL receive future products, but the parent also controls multiple Indian vehicles. Optionality should be valued only after allocation and economics are disclosed.</w:t>
      </w:r>
    </w:p>
    <w:tbl>
      <w:tblPr>
        <w:tblW w:type="auto" w:w="0"/>
        <w:jc w:val="center"/>
        <w:tblLayout w:type="fixed"/>
        <w:tblLook w:firstColumn="1" w:firstRow="1" w:lastColumn="0" w:lastRow="0" w:noHBand="0" w:noVBand="1" w:val="04A0"/>
      </w:tblPr>
      <w:tblGrid>
        <w:gridCol w:w="10166"/>
      </w:tblGrid>
      <w:tr>
        <w:tc>
          <w:tcPr>
            <w:tcW w:type="dxa" w:w="9576"/>
            <w:shd w:fill="FFF7E8"/>
            <w:tcBorders>
              <w:top w:val="single" w:sz="10" w:space="0" w:color="9A6614"/>
              <w:left w:val="single" w:sz="10" w:space="0" w:color="9A6614"/>
              <w:bottom w:val="single" w:sz="10" w:space="0" w:color="9A6614"/>
              <w:right w:val="single" w:sz="10" w:space="0" w:color="9A6614"/>
              <w:insideH w:val="single" w:sz="10" w:space="0" w:color="9A6614"/>
              <w:insideV w:val="single" w:sz="10" w:space="0" w:color="9A6614"/>
            </w:tcBorders>
            <w:tcMar>
              <w:top w:w="110" w:type="dxa"/>
              <w:start w:w="150" w:type="dxa"/>
              <w:bottom w:w="110" w:type="dxa"/>
              <w:end w:w="150" w:type="dxa"/>
            </w:tcMar>
          </w:tcPr>
          <w:p>
            <w:pPr>
              <w:spacing w:after="60"/>
            </w:pPr>
            <w:r>
              <w:rPr>
                <w:b/>
                <w:color w:val="9A6614"/>
                <w:sz w:val="20"/>
              </w:rPr>
              <w:t>Analytical rule</w:t>
            </w:r>
          </w:p>
          <w:p>
            <w:pPr>
              <w:spacing w:after="0" w:line="252" w:lineRule="auto"/>
            </w:pPr>
            <w:r>
              <w:rPr>
                <w:color w:val="1C1C1C"/>
                <w:sz w:val="18"/>
              </w:rPr>
              <w:t>Never write “Sanofi launched X in India” in a stock note without adding the legal entity. The correct sentence is “Sanofi Healthcare India Pvt Ltd launched X” or “Sanofi India Limited launched X.” If the entity is not disclosed, carry zero revenue in the listedco model until evidence emerges.</w:t>
            </w:r>
          </w:p>
        </w:tc>
      </w:tr>
    </w:tbl>
    <w:p>
      <w:pPr>
        <w:spacing w:after="20"/>
      </w:pPr>
    </w:p>
    <w:p>
      <w:pPr>
        <w:pStyle w:val="Heading2"/>
      </w:pPr>
      <w:r>
        <w:t>The consumer-health demerger reset the earnings base</w:t>
      </w:r>
    </w:p>
    <w:p>
      <w:pPr>
        <w:spacing w:after="80" w:line="259" w:lineRule="auto"/>
      </w:pPr>
      <w:r>
        <w:t>The consumer-health business was transferred to SCHIL effective 1 June 2024. SIL shareholders received one SCHIL share for each SIL share. CY24 discontinued operations contributed ₹99.8 crore of PAT, while continuing SIL earned ₹313.7 crore. Net assets of ₹190.2 crore, including cash, were moved out under the scheme. Historical share-price charts and financial growth rates are therefore misleading unless adjusted for the distributed SCHIL value and dividends.</w:t>
      </w:r>
    </w:p>
    <w:p>
      <w:pPr>
        <w:spacing w:after="80" w:line="259" w:lineRule="auto"/>
      </w:pPr>
      <w:r>
        <w:t>The demerger improved analytical clarity but reduced diversification. Post-demerger SIL is more concentrated in prescription diabetes and mature brands. Consumer assets such as Allegra and Combiflam no longer cushion prescription volatility. The right historical comparison is continuing operations from CY23 onward, not reported consolidated revenue across all prior years.</w:t>
      </w:r>
    </w:p>
    <w:p>
      <w:pPr>
        <w:pStyle w:val="Heading1"/>
        <w:pageBreakBefore/>
      </w:pPr>
      <w:r>
        <w:t>3. History, ownership and corporate architecture</w:t>
      </w:r>
    </w:p>
    <w:p>
      <w:pPr>
        <w:pStyle w:val="Subtitle"/>
      </w:pPr>
      <w:r>
        <w:t>A 70-year-old Indian listed company has been repeatedly reshaped by global mergers, asset sales, a demerger and outsourcing.</w:t>
      </w:r>
    </w:p>
    <w:p>
      <w:pPr>
        <w:pStyle w:val="Heading2"/>
      </w:pPr>
      <w:r>
        <w:t>Corporate timeline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Period</w:t>
            </w:r>
          </w:p>
        </w:tc>
        <w:tc>
          <w:tcPr>
            <w:tcW w:type="dxa" w:w="446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Event</w:t>
            </w:r>
          </w:p>
        </w:tc>
        <w:tc>
          <w:tcPr>
            <w:tcW w:type="dxa" w:w="367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Analytical consequence</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1956</w:t>
            </w:r>
          </w:p>
        </w:tc>
        <w:tc>
          <w:tcPr>
            <w:tcW w:type="dxa" w:w="44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Incorporated as Hoechst Fedco Pharma Private Limited.</w:t>
            </w:r>
          </w:p>
        </w:tc>
        <w:tc>
          <w:tcPr>
            <w:tcW w:type="dxa" w:w="36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Legacy German multinational roots and a long local operating history.</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1959-2001</w:t>
            </w:r>
          </w:p>
        </w:tc>
        <w:tc>
          <w:tcPr>
            <w:tcW w:type="dxa" w:w="44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Renamed Hoechst Pharmaceuticals, Hoechst India, Hoechst Marion Roussel and Aventis Pharma as global groups merged.</w:t>
            </w:r>
          </w:p>
        </w:tc>
        <w:tc>
          <w:tcPr>
            <w:tcW w:type="dxa" w:w="36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Current portfolio reflects inherited brands more than local discovery.</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2012</w:t>
            </w:r>
          </w:p>
        </w:tc>
        <w:tc>
          <w:tcPr>
            <w:tcW w:type="dxa" w:w="44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Aventis Pharma Limited renamed Sanofi India Limited.</w:t>
            </w:r>
          </w:p>
        </w:tc>
        <w:tc>
          <w:tcPr>
            <w:tcW w:type="dxa" w:w="36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Listed identity aligned with the global parent.</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2020</w:t>
            </w:r>
          </w:p>
        </w:tc>
        <w:tc>
          <w:tcPr>
            <w:tcW w:type="dxa" w:w="44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Ankleshwar manufacturing site sold to Zentiva, with transitional supply arrangements retained.</w:t>
            </w:r>
          </w:p>
        </w:tc>
        <w:tc>
          <w:tcPr>
            <w:tcW w:type="dxa" w:w="36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Created temporary export revenue that later rolled off.</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2021</w:t>
            </w:r>
          </w:p>
        </w:tc>
        <w:tc>
          <w:tcPr>
            <w:tcW w:type="dxa" w:w="44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Nutraceutical business sold to Universal Nutriscience for about ₹587 crore including debt-like obligations.</w:t>
            </w:r>
          </w:p>
        </w:tc>
        <w:tc>
          <w:tcPr>
            <w:tcW w:type="dxa" w:w="36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Generated a large exceptional gain and special dividends; reduced portfolio breadth.</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2022</w:t>
            </w:r>
          </w:p>
        </w:tc>
        <w:tc>
          <w:tcPr>
            <w:tcW w:type="dxa" w:w="44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Soframycin and Sofradex distribution business transferred to Encube; property also sold.</w:t>
            </w:r>
          </w:p>
        </w:tc>
        <w:tc>
          <w:tcPr>
            <w:tcW w:type="dxa" w:w="36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Further pruning and one-off earnings.</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2023</w:t>
            </w:r>
          </w:p>
        </w:tc>
        <w:tc>
          <w:tcPr>
            <w:tcW w:type="dxa" w:w="44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Consumer-health demerger approved; Soliqua received Indian approval.</w:t>
            </w:r>
          </w:p>
        </w:tc>
        <w:tc>
          <w:tcPr>
            <w:tcW w:type="dxa" w:w="36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Created the future focused pharma perimeter.</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2024</w:t>
            </w:r>
          </w:p>
        </w:tc>
        <w:tc>
          <w:tcPr>
            <w:tcW w:type="dxa" w:w="44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SCHIL demerger effective; Emcure CV and Cipla CNS partnerships began; Soliqua launched.</w:t>
            </w:r>
          </w:p>
        </w:tc>
        <w:tc>
          <w:tcPr>
            <w:tcW w:type="dxa" w:w="36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Commercial fixed cost moved to partners; SIL became more insulin focused.</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2025</w:t>
            </w:r>
          </w:p>
        </w:tc>
        <w:tc>
          <w:tcPr>
            <w:tcW w:type="dxa" w:w="44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Amaryl/Cetapin outsourced to Emcure; Deepak Arora appointed MD; Zentiva transition largely ended.</w:t>
            </w:r>
          </w:p>
        </w:tc>
        <w:tc>
          <w:tcPr>
            <w:tcW w:type="dxa" w:w="36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Final stage of the operating-model reset.</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2026</w:t>
            </w:r>
          </w:p>
        </w:tc>
        <w:tc>
          <w:tcPr>
            <w:tcW w:type="dxa" w:w="44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grew 17% in H1; Awiqli launched by Novo; CFO transition announced.</w:t>
            </w:r>
          </w:p>
        </w:tc>
        <w:tc>
          <w:tcPr>
            <w:tcW w:type="dxa" w:w="36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Growth proof improved, while competitive and management uncertainty rose.</w:t>
            </w:r>
          </w:p>
        </w:tc>
      </w:tr>
    </w:tbl>
    <w:p>
      <w:pPr>
        <w:spacing w:after="20"/>
      </w:pPr>
    </w:p>
    <w:p>
      <w:pPr>
        <w:pStyle w:val="Heading2"/>
      </w:pPr>
      <w:r>
        <w:t>Ownership and float</w:t>
      </w:r>
    </w:p>
    <w:p>
      <w:pPr>
        <w:spacing w:after="80" w:line="259" w:lineRule="auto"/>
      </w:pPr>
      <w:r>
        <w:t>Sanofi S.A. and its wholly owned subsidiary Hoechst GmbH control 60.40% of paid-up capital. At December 2025, domestic institutions held 21.31%, foreign institutions 5.55%, individual investors 10.02% and others 2.72%. Parent control is stable and the free float is meaningful but not large. The company has 23.03 million shares outstanding and no conventional financial debt.</w:t>
      </w:r>
    </w:p>
    <w:p>
      <w:pPr>
        <w:spacing w:after="80" w:line="259" w:lineRule="auto"/>
      </w:pPr>
      <w:r>
        <w:t>Parent control has two opposite implications. It raises product quality, access to global supply, compliance standards and potential product transfer. It also means minorities cannot determine which Indian entity receives a new product, how intra-group sourcing is priced, or how much cash is retained. The correct governance lens is alignment through dividends and operating performance, balanced against dependence on group allocation decisions.</w:t>
      </w:r>
    </w:p>
    <w:p>
      <w:pPr>
        <w:pStyle w:val="Heading2"/>
      </w:pPr>
      <w:r>
        <w:t>Leadership and current transition</w:t>
      </w:r>
    </w:p>
    <w:p>
      <w:pPr>
        <w:spacing w:after="80" w:line="259" w:lineRule="auto"/>
      </w:pPr>
      <w:r>
        <w:t>Deepak Arora became Managing Director for a three-year term from 27 October 2025. The board is chaired by independent director Rahul Bhatnagar from April 2026. The current board also includes newly appointed independent directors Rajani Kesari and Siraj Azmat Chaudhry, as well as parent-linked non-executive directors and whole-time operating directors. Rachid Ayari is scheduled to step down as CFO and whole-time director after 30 September 2026 to take another Sanofi group role; a successor had not been announced as of the analytical date.</w:t>
      </w:r>
    </w:p>
    <w:tbl>
      <w:tblPr>
        <w:tblW w:type="auto" w:w="0"/>
        <w:jc w:val="center"/>
        <w:tblLayout w:type="fixed"/>
        <w:tblLook w:firstColumn="1" w:firstRow="1" w:lastColumn="0" w:lastRow="0" w:noHBand="0" w:noVBand="1" w:val="04A0"/>
      </w:tblPr>
      <w:tblGrid>
        <w:gridCol w:w="10166"/>
      </w:tblGrid>
      <w:tr>
        <w:tc>
          <w:tcPr>
            <w:tcW w:type="dxa" w:w="9576"/>
            <w:shd w:fill="F5F6F8"/>
            <w:tcBorders>
              <w:top w:val="single" w:sz="10" w:space="0" w:color="26364A"/>
              <w:left w:val="single" w:sz="10" w:space="0" w:color="26364A"/>
              <w:bottom w:val="single" w:sz="10" w:space="0" w:color="26364A"/>
              <w:right w:val="single" w:sz="10" w:space="0" w:color="26364A"/>
              <w:insideH w:val="single" w:sz="10" w:space="0" w:color="26364A"/>
              <w:insideV w:val="single" w:sz="10" w:space="0" w:color="26364A"/>
            </w:tcBorders>
            <w:tcMar>
              <w:top w:w="110" w:type="dxa"/>
              <w:start w:w="150" w:type="dxa"/>
              <w:bottom w:w="110" w:type="dxa"/>
              <w:end w:w="150" w:type="dxa"/>
            </w:tcMar>
          </w:tcPr>
          <w:p>
            <w:pPr>
              <w:spacing w:after="60"/>
            </w:pPr>
            <w:r>
              <w:rPr>
                <w:b/>
                <w:color w:val="26364A"/>
                <w:sz w:val="20"/>
              </w:rPr>
              <w:t>What to watch in management</w:t>
            </w:r>
          </w:p>
          <w:p>
            <w:pPr>
              <w:spacing w:after="0" w:line="252" w:lineRule="auto"/>
            </w:pPr>
            <w:r>
              <w:rPr>
                <w:color w:val="1C1C1C"/>
                <w:sz w:val="18"/>
              </w:rPr>
              <w:t>The leadership team is not inheriting a normal growth company. It must prove that the 2024-25 restructuring created a scalable model, not simply a smaller cost base. The CFO appointment matters because partner inventory, related-party transactions, export economics and capital allocation are central to the stock debate.</w:t>
            </w:r>
          </w:p>
        </w:tc>
      </w:tr>
    </w:tbl>
    <w:p>
      <w:pPr>
        <w:spacing w:after="20"/>
      </w:pPr>
    </w:p>
    <w:p>
      <w:pPr>
        <w:pStyle w:val="Heading1"/>
        <w:pageBreakBefore/>
      </w:pPr>
      <w:r>
        <w:t>4. Business model from first principles</w:t>
      </w:r>
    </w:p>
    <w:p>
      <w:pPr>
        <w:pStyle w:val="Subtitle"/>
      </w:pPr>
      <w:r>
        <w:t>Revenue comes from four economic engines with different growth, margin and control characteristics.</w:t>
      </w:r>
    </w:p>
    <w:p>
      <w:pPr>
        <w:pStyle w:val="Heading2"/>
      </w:pPr>
      <w:r>
        <w:t>The four revenue engines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Engine</w:t>
            </w:r>
          </w:p>
        </w:tc>
        <w:tc>
          <w:tcPr>
            <w:tcW w:type="dxa" w:w="345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How value is created</w:t>
            </w:r>
          </w:p>
        </w:tc>
        <w:tc>
          <w:tcPr>
            <w:tcW w:type="dxa" w:w="223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Economics</w:t>
            </w:r>
          </w:p>
        </w:tc>
        <w:tc>
          <w:tcPr>
            <w:tcW w:type="dxa" w:w="194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Key risk</w:t>
            </w:r>
          </w:p>
        </w:tc>
      </w:tr>
      <w:tr>
        <w:tc>
          <w:tcPr>
            <w:tcW w:type="dxa" w:w="172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 Direct insulin franchise</w:t>
            </w:r>
          </w:p>
        </w:tc>
        <w:tc>
          <w:tcPr>
            <w:tcW w:type="dxa" w:w="34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Sanofi promotes and supplies Lantus, Toujeo, Apidra and Soliqua to private and public channels, supported by devices, medical education and patient programs.</w:t>
            </w:r>
          </w:p>
        </w:tc>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High brand equity and attractive gross profit; requires specialist promotion and cold-chain execution.</w:t>
            </w:r>
          </w:p>
        </w:tc>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Price control, biosimilars, GLP-1/weekly-insulin substitution, tender mix.</w:t>
            </w:r>
          </w:p>
        </w:tc>
      </w:tr>
      <w:tr>
        <w:tc>
          <w:tcPr>
            <w:tcW w:type="dxa" w:w="172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 Partnered legacy brands</w:t>
            </w:r>
          </w:p>
        </w:tc>
        <w:tc>
          <w:tcPr>
            <w:tcW w:type="dxa" w:w="345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SIL owns and supplies products; Emcure or Cipla promotes and distributes them using a broader field force.</w:t>
            </w:r>
          </w:p>
        </w:tc>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Lower fixed commercial cost and wider reach, but part of channel economics is ceded to partners.</w:t>
            </w:r>
          </w:p>
        </w:tc>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Partner prioritization, primary/secondary inventory mismatch, structural undergrowth.</w:t>
            </w:r>
          </w:p>
        </w:tc>
      </w:tr>
      <w:tr>
        <w:tc>
          <w:tcPr>
            <w:tcW w:type="dxa" w:w="172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3. Goa exports</w:t>
            </w:r>
          </w:p>
        </w:tc>
        <w:tc>
          <w:tcPr>
            <w:tcW w:type="dxa" w:w="34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The Goa site manufactures oral solids and selected products for Sanofi affiliates and external transitional contracts.</w:t>
            </w:r>
          </w:p>
        </w:tc>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Uses a high-quality fixed asset and can add operating leverage at volume.</w:t>
            </w:r>
          </w:p>
        </w:tc>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Customer concentration, mature-product competition, transfer pipeline and regulatory compliance.</w:t>
            </w:r>
          </w:p>
        </w:tc>
      </w:tr>
      <w:tr>
        <w:tc>
          <w:tcPr>
            <w:tcW w:type="dxa" w:w="172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4. Intercompany services/other income</w:t>
            </w:r>
          </w:p>
        </w:tc>
        <w:tc>
          <w:tcPr>
            <w:tcW w:type="dxa" w:w="345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SIL provides services to other Sanofi entities and earns interest on cash.</w:t>
            </w:r>
          </w:p>
        </w:tc>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High incremental margin but can change with group structure.</w:t>
            </w:r>
          </w:p>
        </w:tc>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Not a durable substitute for product growth; related-party dependence.</w:t>
            </w:r>
          </w:p>
        </w:tc>
      </w:tr>
    </w:tbl>
    <w:p>
      <w:pPr>
        <w:spacing w:after="20"/>
      </w:pPr>
    </w:p>
    <w:p>
      <w:pPr>
        <w:pStyle w:val="Heading2"/>
      </w:pPr>
      <w:r>
        <w:t>Q2 CY26 reveals the underlying mix</w:t>
      </w:r>
    </w:p>
    <w:p>
      <w:pPr>
        <w:spacing w:after="80" w:line="259" w:lineRule="auto"/>
      </w:pPr>
      <w:r>
        <w:t>Q2 CY26 domestic net sales were ₹355.9 crore: insulin ₹203.1 crore, partnership brands ₹145.7 crore and other ₹7.1 crore. Export sales were ₹60.3 crore, taking product net sales to ₹416.2 crore. Other operating income, mainly services, was ₹21.6 crore. On product net sales, insulin was 48.8%, partnership brands 35.0%, exports 14.5% and other domestic 1.7%. The economic reality is therefore simpler than the brand list suggests: about half the sales base is insulin, and another third is a collection of outsourced mature brands.</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q2_mix.png"/>
                    <pic:cNvPicPr/>
                  </pic:nvPicPr>
                  <pic:blipFill>
                    <a:blip r:embed="rId11"/>
                    <a:stretch>
                      <a:fillRect/>
                    </a:stretch>
                  </pic:blipFill>
                  <pic:spPr>
                    <a:xfrm>
                      <a:off x="0" y="0"/>
                      <a:ext cx="6080760" cy="3040380"/>
                    </a:xfrm>
                    <a:prstGeom prst="rect"/>
                  </pic:spPr>
                </pic:pic>
              </a:graphicData>
            </a:graphic>
          </wp:inline>
        </w:drawing>
      </w:r>
    </w:p>
    <w:p>
      <w:pPr>
        <w:jc w:val="center"/>
      </w:pPr>
      <w:r>
        <w:rPr>
          <w:i/>
          <w:sz w:val="16"/>
        </w:rPr>
        <w:t>Exhibit 1. Q2 domestic growth was almost entirely insulin-led.</w:t>
      </w:r>
    </w:p>
    <w:p>
      <w:pPr>
        <w:pStyle w:val="Heading2"/>
      </w:pPr>
      <w:r>
        <w:t>How the model converts revenue into profit</w:t>
      </w:r>
    </w:p>
    <w:p>
      <w:pPr>
        <w:spacing w:after="80" w:line="259" w:lineRule="auto"/>
      </w:pPr>
      <w:r>
        <w:t>The manufacturing and trading mix produces a gross margin of about 51%. CY25 gross margin was 51.2%, nearly unchanged from 51.4% in CY24. The improvement in EBITDA margin from 25.2% to 27.8% therefore did not come from pricing or product mix at the gross-profit line. It came from lower employee costs and other operating expenses after restructuring. Employee expense fell 23%, while selling and distribution, toll manufacturing and travel also declined.</w:t>
      </w:r>
    </w:p>
    <w:p>
      <w:pPr>
        <w:spacing w:after="80" w:line="259" w:lineRule="auto"/>
      </w:pPr>
      <w:r>
        <w:t>This distinction matters for forecast quality. A one-time reset can protect earnings through a revenue decline, but it cannot repeat indefinitely. Future EPS compounding must come from product gross-profit growth, further mix improvement, or new revenue using the same cost base. If partnership sales remain weak and exports do not recover, incremental opex savings will eventually run out.</w:t>
      </w:r>
    </w:p>
    <w:tbl>
      <w:tblPr>
        <w:tblW w:type="auto" w:w="0"/>
        <w:jc w:val="center"/>
        <w:tblLayout w:type="fixed"/>
        <w:tblLook w:firstColumn="1" w:firstRow="1" w:lastColumn="0" w:lastRow="0" w:noHBand="0" w:noVBand="1" w:val="04A0"/>
      </w:tblPr>
      <w:tblGrid>
        <w:gridCol w:w="10166"/>
      </w:tblGrid>
      <w:tr>
        <w:tc>
          <w:tcPr>
            <w:tcW w:type="dxa" w:w="9576"/>
            <w:shd w:fill="F7F4FA"/>
            <w:tcBorders>
              <w:top w:val="single" w:sz="10" w:space="0" w:color="5B2C83"/>
              <w:left w:val="single" w:sz="10" w:space="0" w:color="5B2C83"/>
              <w:bottom w:val="single" w:sz="10" w:space="0" w:color="5B2C83"/>
              <w:right w:val="single" w:sz="10" w:space="0" w:color="5B2C83"/>
              <w:insideH w:val="single" w:sz="10" w:space="0" w:color="5B2C83"/>
              <w:insideV w:val="single" w:sz="10" w:space="0" w:color="5B2C83"/>
            </w:tcBorders>
            <w:tcMar>
              <w:top w:w="110" w:type="dxa"/>
              <w:start w:w="150" w:type="dxa"/>
              <w:bottom w:w="110" w:type="dxa"/>
              <w:end w:w="150" w:type="dxa"/>
            </w:tcMar>
          </w:tcPr>
          <w:p>
            <w:pPr>
              <w:spacing w:after="60"/>
            </w:pPr>
            <w:r>
              <w:rPr>
                <w:b/>
                <w:color w:val="5B2C83"/>
                <w:sz w:val="20"/>
              </w:rPr>
              <w:t>First-principles earnings equation</w:t>
            </w:r>
          </w:p>
          <w:p>
            <w:pPr>
              <w:spacing w:after="0" w:line="252" w:lineRule="auto"/>
            </w:pPr>
            <w:r>
              <w:rPr>
                <w:color w:val="1C1C1C"/>
                <w:sz w:val="18"/>
              </w:rPr>
              <w:t>Operating profit growth = product volume growth + net price/mix + export utilization + service income change - partner economics - input inflation - commercial reinvestment. In the current model, insulin volume/mix and Goa utilization are the two variables with the greatest positive operating leverage.</w:t>
            </w:r>
          </w:p>
        </w:tc>
      </w:tr>
    </w:tbl>
    <w:p>
      <w:pPr>
        <w:spacing w:after="20"/>
      </w:pPr>
    </w:p>
    <w:p>
      <w:pPr>
        <w:pStyle w:val="Heading1"/>
        <w:pageBreakBefore/>
      </w:pPr>
      <w:r>
        <w:t>5. Portfolio map and product deep dives</w:t>
      </w:r>
    </w:p>
    <w:p>
      <w:pPr>
        <w:pStyle w:val="Subtitle"/>
      </w:pPr>
      <w:r>
        <w:t>The portfolio contains one high-quality injectable franchise and a long tail of mature branded medicines.</w:t>
      </w:r>
    </w:p>
    <w:p>
      <w:pPr>
        <w:pStyle w:val="Heading2"/>
      </w:pPr>
      <w:r>
        <w:t>Portfolio overview</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Therapy / brand</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Molecule / role</w:t>
            </w:r>
          </w:p>
        </w:tc>
        <w:tc>
          <w:tcPr>
            <w:tcW w:type="dxa" w:w="273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Commercial position</w:t>
            </w:r>
          </w:p>
        </w:tc>
        <w:tc>
          <w:tcPr>
            <w:tcW w:type="dxa" w:w="28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Investment view</w:t>
            </w:r>
          </w:p>
        </w:tc>
      </w:tr>
      <w:tr>
        <w:tc>
          <w:tcPr>
            <w:tcW w:type="dxa" w:w="14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Lantus</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Insulin glargine U100, once-daily basal insulin</w:t>
            </w:r>
          </w:p>
        </w:tc>
        <w:tc>
          <w:tcPr>
            <w:tcW w:type="dxa" w:w="273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#3 insulin brand by value in CY25; about 47% value share in its disclosed market context in Jun-26; volume +6%</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Franchise anchor. Durable need, but NLEM price control and biosimilars constrain price.</w:t>
            </w:r>
          </w:p>
        </w:tc>
      </w:tr>
      <w:tr>
        <w:tc>
          <w:tcPr>
            <w:tcW w:type="dxa" w:w="14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Toujeo</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Insulin glargine U300, second-generation basal</w:t>
            </w:r>
          </w:p>
        </w:tc>
        <w:tc>
          <w:tcPr>
            <w:tcW w:type="dxa" w:w="273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Top-10 insulin brand; about 11% value share; preferred second-generation basal</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Premium mix driver with better pharmacokinetic profile. Key source of value growth.</w:t>
            </w:r>
          </w:p>
        </w:tc>
      </w:tr>
      <w:tr>
        <w:tc>
          <w:tcPr>
            <w:tcW w:type="dxa" w:w="14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Soliqua</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Fixed ratio glargine U100 + lixisenatide GLP-1 RA</w:t>
            </w:r>
          </w:p>
        </w:tc>
        <w:tc>
          <w:tcPr>
            <w:tcW w:type="dxa" w:w="273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Launched Apr-24; +90% in CY25 and +16% sequentially in Q2 CY26</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Important intensification option, but lixisenatide is an older GLP-1 and the product faces modern incretin competition.</w:t>
            </w:r>
          </w:p>
        </w:tc>
      </w:tr>
      <w:tr>
        <w:tc>
          <w:tcPr>
            <w:tcW w:type="dxa" w:w="14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Apidra</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Insulin glulisine, rapid-acting mealtime insulin</w:t>
            </w:r>
          </w:p>
        </w:tc>
        <w:tc>
          <w:tcPr>
            <w:tcW w:type="dxa" w:w="273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#6 in category; CY25 growth +13%</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Completes basal-bolus portfolio and benefits from intensification; smaller than basal franchise.</w:t>
            </w:r>
          </w:p>
        </w:tc>
      </w:tr>
      <w:tr>
        <w:tc>
          <w:tcPr>
            <w:tcW w:type="dxa" w:w="14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Amaryl</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Glimepiride sulfonylurea family</w:t>
            </w:r>
          </w:p>
        </w:tc>
        <w:tc>
          <w:tcPr>
            <w:tcW w:type="dxa" w:w="273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27% glimepiride share; #6 in category cited for core brand</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Strong heritage and affordability, but generic class, hypoglycaemia and weight-gain disadvantages.</w:t>
            </w:r>
          </w:p>
        </w:tc>
      </w:tr>
      <w:tr>
        <w:tc>
          <w:tcPr>
            <w:tcW w:type="dxa" w:w="14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Cetapin</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Metformin formulations</w:t>
            </w:r>
          </w:p>
        </w:tc>
        <w:tc>
          <w:tcPr>
            <w:tcW w:type="dxa" w:w="273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#6 in metformin category</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Large class but highly commoditized; partnership reach is more important than innovation.</w:t>
            </w:r>
          </w:p>
        </w:tc>
      </w:tr>
      <w:tr>
        <w:tc>
          <w:tcPr>
            <w:tcW w:type="dxa" w:w="14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Clexane</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Enoxaparin low-molecular-weight heparin</w:t>
            </w:r>
          </w:p>
        </w:tc>
        <w:tc>
          <w:tcPr>
            <w:tcW w:type="dxa" w:w="273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#2 by value</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Hospital/acute-care brand with trusted quality; generic and tender pressure.</w:t>
            </w:r>
          </w:p>
        </w:tc>
      </w:tr>
      <w:tr>
        <w:tc>
          <w:tcPr>
            <w:tcW w:type="dxa" w:w="14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Cardace</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Ramipril ACE inhibitor family</w:t>
            </w:r>
          </w:p>
        </w:tc>
        <w:tc>
          <w:tcPr>
            <w:tcW w:type="dxa" w:w="273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#1 by value in ACE-inhibitor category</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Established chronic brand, but mature and generic.</w:t>
            </w:r>
          </w:p>
        </w:tc>
      </w:tr>
      <w:tr>
        <w:tc>
          <w:tcPr>
            <w:tcW w:type="dxa" w:w="14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Frisium</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Clobazam anti-epileptic</w:t>
            </w:r>
          </w:p>
        </w:tc>
        <w:tc>
          <w:tcPr>
            <w:tcW w:type="dxa" w:w="273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#1 in clobazam market</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Strong niche equity, now partner-led.</w:t>
            </w:r>
          </w:p>
        </w:tc>
      </w:tr>
      <w:tr>
        <w:tc>
          <w:tcPr>
            <w:tcW w:type="dxa" w:w="14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Targocid</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Teicoplanin anti-MRSA antibiotic</w:t>
            </w:r>
          </w:p>
        </w:tc>
        <w:tc>
          <w:tcPr>
            <w:tcW w:type="dxa" w:w="273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#1 by value and #6 by volume in anti-MRSA category</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Premium anti-infective with hospital relevance; faces severe generic price competition.</w:t>
            </w:r>
          </w:p>
        </w:tc>
      </w:tr>
    </w:tbl>
    <w:p>
      <w:pPr>
        <w:spacing w:after="20"/>
      </w:pPr>
    </w:p>
    <w:p>
      <w:pPr>
        <w:pStyle w:val="Heading2"/>
      </w:pPr>
      <w:r>
        <w:t>Lantus: the cash engine</w:t>
      </w:r>
    </w:p>
    <w:p>
      <w:pPr>
        <w:spacing w:after="80" w:line="259" w:lineRule="auto"/>
      </w:pPr>
      <w:r>
        <w:t>Lantus provides steady basal insulin for approximately 24 hours. Basal insulin primarily suppresses hepatic glucose production between meals and overnight. In type 1 diabetes it is essential as part of a basal-bolus regimen; in type 2 diabetes it is typically introduced when oral agents and non-insulin injectables no longer provide sufficient control. Because diabetes is progressive and beta-cell function declines over time, the addressable need is structurally durable even when earlier-line treatment improves.</w:t>
      </w:r>
    </w:p>
    <w:p>
      <w:pPr>
        <w:spacing w:after="80" w:line="259" w:lineRule="auto"/>
      </w:pPr>
      <w:r>
        <w:t>The commercial moat is not molecular exclusivity. Insulin glargine is mature and biosimilar competition exists. The moat is accumulated physician confidence, device familiarity, consistent supply, patient support, prescription stickiness and access across private and government channels. Lantus was added to India’s NLEM price-controlled framework, improving affordability and public access but limiting price upside. The most attractive outcome is therefore volume growth with low churn rather than price-led growth.</w:t>
      </w:r>
    </w:p>
    <w:p>
      <w:pPr>
        <w:spacing w:after="80" w:line="259" w:lineRule="auto"/>
      </w:pPr>
      <w:r>
        <w:t>The main downside is that a high-volume legacy brand can become a deflationary annuity. If tender mix rises, biosimilars gain share or once-weekly insulin captures established daily-basal users, revenue may lag unit growth. Analysts should separate volume, price, channel and device mix every quarter. A single “sales growth” number is inadequate.</w:t>
      </w:r>
    </w:p>
    <w:p>
      <w:pPr>
        <w:pStyle w:val="Heading2"/>
      </w:pPr>
      <w:r>
        <w:t>Toujeo: the premiumization engine</w:t>
      </w:r>
    </w:p>
    <w:p>
      <w:pPr>
        <w:spacing w:after="80" w:line="259" w:lineRule="auto"/>
      </w:pPr>
      <w:r>
        <w:t>Toujeo contains the same insulin glargine molecule at U300 concentration. The smaller subcutaneous depot produces a flatter and more prolonged pharmacokinetic profile than U100 glargine, with potential advantages in glycaemic variability and hypoglycaemia for appropriate patients. Commercially, Toujeo lets Sanofi move the franchise toward a differentiated second-generation basal rather than defend Lantus purely on price.</w:t>
      </w:r>
    </w:p>
    <w:p>
      <w:pPr>
        <w:spacing w:after="80" w:line="259" w:lineRule="auto"/>
      </w:pPr>
      <w:r>
        <w:t>The key model question is whether Toujeo is additive or cannibalistic. Switching a Lantus patient to Toujeo can lift value and strengthen retention, but it does not necessarily expand total franchise volume. New insulin initiation and public-sector access create true category expansion. The ideal disclosure would show Toujeo new-to-insulin starts, Lantus-to-Toujeo switches, average realized price and public/private mix. The company does not currently provide this granularity.</w:t>
      </w:r>
    </w:p>
    <w:p>
      <w:pPr>
        <w:pStyle w:val="Heading2"/>
      </w:pPr>
      <w:r>
        <w:t>Soliqua: innovation within the existing franchise</w:t>
      </w:r>
    </w:p>
    <w:p>
      <w:pPr>
        <w:spacing w:after="80" w:line="259" w:lineRule="auto"/>
      </w:pPr>
      <w:r>
        <w:t>Soliqua combines basal insulin glargine with lixisenatide, a short-acting GLP-1 receptor agonist, in one daily pen. It is used in adults with type 2 diabetes inadequately controlled on oral or injectable therapy. The insulin addresses fasting glucose, while lixisenatide improves post-prandial control and can mitigate weight gain associated with insulin intensification. One device may simplify a step that would otherwise require multiple therapies.</w:t>
      </w:r>
    </w:p>
    <w:p>
      <w:pPr>
        <w:spacing w:after="80" w:line="259" w:lineRule="auto"/>
      </w:pPr>
      <w:r>
        <w:t>For Sanofi India, Soliqua is strategically valuable because it monetizes an established insulin channel and gives prescribers an intensification option without ceding the patient to a competitor. The launch price disclosed in 2024 was ₹1,850 per pen. CY25 growth of 90% and continued Q2 CY26 sequential growth are encouraging, but the base is small and absolute sales are not disclosed.</w:t>
      </w:r>
    </w:p>
    <w:p>
      <w:pPr>
        <w:spacing w:after="80" w:line="259" w:lineRule="auto"/>
      </w:pPr>
      <w:r>
        <w:t>The limitation is molecule competitiveness. Lixisenatide is less potent on weight and glycaemia than newer semaglutide and tirzepatide regimens. Fixed-ratio titration also reduces flexibility. Soliqua should be modeled as a clinically useful intensification niche and retention product, not as a direct substitute for the obesity-led economics of modern GLP-1/GIP franchises.</w:t>
      </w:r>
    </w:p>
    <w:p>
      <w:pPr>
        <w:pStyle w:val="Heading2"/>
      </w:pPr>
      <w:r>
        <w:t>Apidra and the full-regimen advantage</w:t>
      </w:r>
    </w:p>
    <w:p>
      <w:pPr>
        <w:spacing w:after="80" w:line="259" w:lineRule="auto"/>
      </w:pPr>
      <w:r>
        <w:t>Apidra is rapid-acting insulin glulisine used around meals. It matters because advanced diabetes management often progresses from basal insulin to basal-plus or basal-bolus therapy. A company that owns both basal and prandial insulin can retain patients as disease complexity rises. Apidra also gives Sanofi an answer when weekly basal insulin expands initiation but patients later require prandial control. Its growth is likely tied to intensification, specialist penetration and device availability rather than broad early-line expansion.</w:t>
      </w:r>
    </w:p>
    <w:p>
      <w:pPr>
        <w:pStyle w:val="Heading2"/>
      </w:pPr>
      <w:r>
        <w:t>Oral diabetes and mature brands: brands still matter, but classes are commoditized</w:t>
      </w:r>
    </w:p>
    <w:p>
      <w:pPr>
        <w:spacing w:after="80" w:line="259" w:lineRule="auto"/>
      </w:pPr>
      <w:r>
        <w:t>Amaryl and Cetapin operate in generic oral categories where therapy cost, doctor habit, combination strengths and distribution reach matter more than novelty. Sulfonylureas remain widely used in India because they are effective and inexpensive, but they carry hypoglycaemia and weight-gain liabilities. Metformin remains foundational, but brand differentiation is limited. Emcure can improve reach and call efficiency, yet these brands are unlikely to deserve an innovation multiple.</w:t>
      </w:r>
    </w:p>
    <w:p>
      <w:pPr>
        <w:spacing w:after="80" w:line="259" w:lineRule="auto"/>
      </w:pPr>
      <w:r>
        <w:t>Cardace, Clexane, Frisium and Targocid have stronger category positions than a casual “legacy” label implies. Brand trust is valuable in chronic cardiovascular care, anticoagulation, epilepsy and severe infection. However, their molecules are mature, their therapy markets are competitive, and several are exposed to hospital procurement or generic substitution. They can generate cash and modest growth, but the investment debate is commercial execution, not clinical novelty.</w:t>
      </w:r>
    </w:p>
    <w:p>
      <w:pPr>
        <w:pStyle w:val="Heading1"/>
        <w:pageBreakBefore/>
      </w:pPr>
      <w:r>
        <w:t>6. India diabetes market and competitive structure</w:t>
      </w:r>
    </w:p>
    <w:p>
      <w:pPr>
        <w:pStyle w:val="Subtitle"/>
      </w:pPr>
      <w:r>
        <w:t>The epidemiology is exceptionally supportive, but treatment innovation can redistribute value away from daily basal insulin.</w:t>
      </w:r>
    </w:p>
    <w:p>
      <w:pPr>
        <w:pStyle w:val="Heading2"/>
      </w:pPr>
      <w:r>
        <w:t>The demand pool is enormous and underpenetrated</w:t>
      </w:r>
    </w:p>
    <w:p>
      <w:pPr>
        <w:spacing w:after="80" w:line="259" w:lineRule="auto"/>
      </w:pPr>
      <w:r>
        <w:t>The ICMR-INDIAB study estimated about 101 million people with diabetes and 136 million with prediabetes in India. The IDF’s 2025 atlas estimates 89.8 million adults aged 20-79 with diabetes in 2024 and 156.7 million by 2050. Differences reflect methodology, but both sources point to the same conclusion: India has a very large, growing, underdiagnosed and poorly controlled population.</w:t>
      </w:r>
    </w:p>
    <w:p>
      <w:pPr>
        <w:spacing w:after="80" w:line="259" w:lineRule="auto"/>
      </w:pPr>
      <w:r>
        <w:t>Only a minority of people with diabetes use insulin. Reuters reported roughly six million current insulin users, potentially rising toward nine million. The gap between disease prevalence and insulin use is explained by type 2 disease stage, affordability, injection resistance, physician inertia, diagnostic gaps and access. Sanofi does not need insulin share to rise across all diabetics for the market to grow. It needs more diagnosed patients to progress to injectable treatment and existing users to adopt analogues.</w:t>
      </w:r>
    </w:p>
    <w:p>
      <w:pPr>
        <w:pStyle w:val="Heading2"/>
      </w:pPr>
      <w:r>
        <w:t>The treatment ladder determines where Sanofi earns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Disease stage</w:t>
            </w:r>
          </w:p>
        </w:tc>
        <w:tc>
          <w:tcPr>
            <w:tcW w:type="dxa" w:w="295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Typical treatment logic</w:t>
            </w:r>
          </w:p>
        </w:tc>
        <w:tc>
          <w:tcPr>
            <w:tcW w:type="dxa" w:w="223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Sanofi exposure</w:t>
            </w:r>
          </w:p>
        </w:tc>
        <w:tc>
          <w:tcPr>
            <w:tcW w:type="dxa" w:w="259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Competitive pressure</w:t>
            </w:r>
          </w:p>
        </w:tc>
      </w:tr>
      <w:tr>
        <w:tc>
          <w:tcPr>
            <w:tcW w:type="dxa" w:w="16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Prevention / early T2D</w:t>
            </w:r>
          </w:p>
        </w:tc>
        <w:tc>
          <w:tcPr>
            <w:tcW w:type="dxa" w:w="29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Lifestyle, metformin and other oral agents</w:t>
            </w:r>
          </w:p>
        </w:tc>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Cetapin and Amaryl, now partner-led</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Low-cost generics; SGLT2/DPP-4 combinations; limited differentiation.</w:t>
            </w:r>
          </w:p>
        </w:tc>
      </w:tr>
      <w:tr>
        <w:tc>
          <w:tcPr>
            <w:tcW w:type="dxa" w:w="165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Escalating T2D</w:t>
            </w:r>
          </w:p>
        </w:tc>
        <w:tc>
          <w:tcPr>
            <w:tcW w:type="dxa" w:w="29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Multiple oral drugs, GLP-1/GIP or basal insulin</w:t>
            </w:r>
          </w:p>
        </w:tc>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Lantus, Toujeo and Soliqua</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Mounjaro, semaglutide, biosimilar glargine, weekly Awiqli.</w:t>
            </w:r>
          </w:p>
        </w:tc>
      </w:tr>
      <w:tr>
        <w:tc>
          <w:tcPr>
            <w:tcW w:type="dxa" w:w="16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Poorly controlled / advanced T2D</w:t>
            </w:r>
          </w:p>
        </w:tc>
        <w:tc>
          <w:tcPr>
            <w:tcW w:type="dxa" w:w="29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Basal intensification, fixed-ratio combo, basal-bolus</w:t>
            </w:r>
          </w:p>
        </w:tc>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Toujeo, Soliqua, Lantus + Apidra</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Premix insulin, competitor basal/prandial portfolios, adherence.</w:t>
            </w:r>
          </w:p>
        </w:tc>
      </w:tr>
      <w:tr>
        <w:tc>
          <w:tcPr>
            <w:tcW w:type="dxa" w:w="165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Type 1 diabetes</w:t>
            </w:r>
          </w:p>
        </w:tc>
        <w:tc>
          <w:tcPr>
            <w:tcW w:type="dxa" w:w="29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Lifelong basal-bolus insulin</w:t>
            </w:r>
          </w:p>
        </w:tc>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Lantus/Toujeo + Apidra</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Other analogues and human insulins; GLP-1 does not replace insulin.</w:t>
            </w:r>
          </w:p>
        </w:tc>
      </w:tr>
      <w:tr>
        <w:tc>
          <w:tcPr>
            <w:tcW w:type="dxa" w:w="16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Public access</w:t>
            </w:r>
          </w:p>
        </w:tc>
        <w:tc>
          <w:tcPr>
            <w:tcW w:type="dxa" w:w="29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Tender/formulary-driven insulin supply</w:t>
            </w:r>
          </w:p>
        </w:tc>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Growing Lantus, Toujeo and Soliqua access</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Price, tender concentration, payment cycles and local alternatives.</w:t>
            </w:r>
          </w:p>
        </w:tc>
      </w:tr>
    </w:tbl>
    <w:p>
      <w:pPr>
        <w:spacing w:after="20"/>
      </w:pPr>
    </w:p>
    <w:p>
      <w:pPr>
        <w:pStyle w:val="Heading2"/>
      </w:pPr>
      <w:r>
        <w:t>GLP-1 drugs are both threat and category amplifier</w:t>
      </w:r>
    </w:p>
    <w:p>
      <w:pPr>
        <w:spacing w:after="80" w:line="259" w:lineRule="auto"/>
      </w:pPr>
      <w:r>
        <w:t>Modern GLP-1 and dual GIP/GLP-1 therapies improve glycaemia, reduce weight and can delay insulin initiation in type 2 diabetes. Lilly launched Mounjaro in India in March 2025, Novo launched Wegovy in June 2025, and semaglutide patent expiry in 2026 has enabled a wave of lower-cost entrants. Reuters reported that India’s obesity-drug market had expanded fivefold from 2021 to ₹628 crore by mid-2025, with rapid early uptake of Mounjaro and Wegovy. The addressable market is likely to broaden as prices fall.</w:t>
      </w:r>
    </w:p>
    <w:p>
      <w:pPr>
        <w:spacing w:after="80" w:line="259" w:lineRule="auto"/>
      </w:pPr>
      <w:r>
        <w:t>For Sanofi, the net effect is segmented. GLP-1s can reduce or defer basal insulin starts among affluent type 2 patients. They do not replace insulin in type 1 diabetes or in many advanced type 2 patients. Increased metabolic-disease awareness can also expand diagnosis and specialist engagement. Soliqua may benefit when a patient needs insulin plus some incretin effect, but it does not match the weight-loss profile of newer agents. The correct model assumption is delayed initiation in some private patients, offset by population growth, progression and access expansion.</w:t>
      </w:r>
    </w:p>
    <w:p>
      <w:pPr>
        <w:pStyle w:val="Heading2"/>
      </w:pPr>
      <w:r>
        <w:t>Awiqli introduces the first major dosing disruption in basal insulin</w:t>
      </w:r>
    </w:p>
    <w:p>
      <w:pPr>
        <w:spacing w:after="80" w:line="259" w:lineRule="auto"/>
      </w:pPr>
      <w:r>
        <w:t>Novo Nordisk launched Awiqli, or insulin icodec, in India in July 2026. It reduces basal injections from daily to weekly. Pricing was disclosed at ₹2,611 for a 1ml 700-unit pen and ₹7,833 for a 3ml 2,100-unit pen, with a 70-unit weekly dose at about ₹261. Management argues that patient profiles differ and weekly dosing may bring injection-resistant patients into the insulin market rather than trigger wholesale switching. That is plausible, but it is also the predictable incumbent response to a disruptive convenience advantage.</w:t>
      </w:r>
    </w:p>
    <w:p>
      <w:pPr>
        <w:spacing w:after="80" w:line="259" w:lineRule="auto"/>
      </w:pPr>
      <w:r>
        <w:t>The near-term risk is not an immediate collapse in Lantus. Physicians will build experience, patient selection matters, dose adjustment differs and many users prefer the familiarity of daily control. The medium-term risk is a change in the definition of “convenient basal insulin.” If weekly dosing proves safe, affordable and sticky, the premium end of the basal market could migrate. Toujeo’s differentiation would then be tested against a convenience benefit that patients can understand immediately.</w:t>
      </w:r>
    </w:p>
    <w:p>
      <w:pPr>
        <w:pStyle w:val="Heading2"/>
      </w:pPr>
      <w:r>
        <w:t>Competitive map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Competitive axis</w:t>
            </w:r>
          </w:p>
        </w:tc>
        <w:tc>
          <w:tcPr>
            <w:tcW w:type="dxa" w:w="266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Relevant competitors</w:t>
            </w:r>
          </w:p>
        </w:tc>
        <w:tc>
          <w:tcPr>
            <w:tcW w:type="dxa" w:w="259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Sanofi advantage</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Sanofi vulnerability</w:t>
            </w:r>
          </w:p>
        </w:tc>
      </w:tr>
      <w:tr>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Daily basal analogues</w:t>
            </w:r>
          </w:p>
        </w:tc>
        <w:tc>
          <w:tcPr>
            <w:tcW w:type="dxa" w:w="26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Novo degludec portfolio, Lilly/biosimilar glargine, Biocon and other local glargines</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Largest basal analogue share, Lantus trust, Toujeo premium profile, devices and support</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Mature molecule, price control, biosimilar discounting.</w:t>
            </w:r>
          </w:p>
        </w:tc>
      </w:tr>
      <w:tr>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Weekly basal</w:t>
            </w:r>
          </w:p>
        </w:tc>
        <w:tc>
          <w:tcPr>
            <w:tcW w:type="dxa" w:w="26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Novo Awiqli</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Large installed base, distinct daily patient profiles, public access</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Sevenfold lower injection frequency is a clear convenience claim.</w:t>
            </w:r>
          </w:p>
        </w:tc>
      </w:tr>
      <w:tr>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Prandial / full regimen</w:t>
            </w:r>
          </w:p>
        </w:tc>
        <w:tc>
          <w:tcPr>
            <w:tcW w:type="dxa" w:w="26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Novo rapid-acting products, Lilly and human-insulin portfolios</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Apidra plus Lantus/Toujeo enables franchise retention</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Smaller prandial share and strong incumbents.</w:t>
            </w:r>
          </w:p>
        </w:tc>
      </w:tr>
      <w:tr>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Modern incretins</w:t>
            </w:r>
          </w:p>
        </w:tc>
        <w:tc>
          <w:tcPr>
            <w:tcW w:type="dxa" w:w="266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Lilly Mounjaro; Novo and generic semaglutide products</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Soliqua integrates basal and GLP-1 in one pen</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Older lixisenatide efficacy; limited obesity positioning.</w:t>
            </w:r>
          </w:p>
        </w:tc>
      </w:tr>
      <w:tr>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Low-cost insulin</w:t>
            </w:r>
          </w:p>
        </w:tc>
        <w:tc>
          <w:tcPr>
            <w:tcW w:type="dxa" w:w="266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Human insulin and premix portfolios from multinational and Indian players</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Analogue outcomes, brand quality and physician confidence</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Affordability and tender economics can favor cheaper alternatives.</w:t>
            </w:r>
          </w:p>
        </w:tc>
      </w:tr>
    </w:tbl>
    <w:p>
      <w:pPr>
        <w:spacing w:after="20"/>
      </w:pPr>
    </w:p>
    <w:p>
      <w:pPr>
        <w:pStyle w:val="Heading1"/>
        <w:pageBreakBefore/>
      </w:pPr>
      <w:r>
        <w:t>7. Partnerships: attractive economics or strategic retreat?</w:t>
      </w:r>
    </w:p>
    <w:p>
      <w:pPr>
        <w:pStyle w:val="Subtitle"/>
      </w:pPr>
      <w:r>
        <w:t>The partner model has improved the cost base, but it has not yet demonstrated market-level growth.</w:t>
      </w:r>
    </w:p>
    <w:p>
      <w:pPr>
        <w:pStyle w:val="Heading2"/>
      </w:pPr>
      <w:r>
        <w:t>What Sanofi outsourced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15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Partner</w:t>
            </w:r>
          </w:p>
        </w:tc>
        <w:tc>
          <w:tcPr>
            <w:tcW w:type="dxa" w:w="309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Portfolio</w:t>
            </w:r>
          </w:p>
        </w:tc>
        <w:tc>
          <w:tcPr>
            <w:tcW w:type="dxa" w:w="165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Start / term</w:t>
            </w:r>
          </w:p>
        </w:tc>
        <w:tc>
          <w:tcPr>
            <w:tcW w:type="dxa" w:w="180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SIL retains</w:t>
            </w:r>
          </w:p>
        </w:tc>
        <w:tc>
          <w:tcPr>
            <w:tcW w:type="dxa" w:w="180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Partner provides</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Emcure</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Cardace, Clexane, Targocid, Lasix, Lasilactone and related CV/anti-infective range</w:t>
            </w:r>
          </w:p>
        </w:tc>
        <w:tc>
          <w:tcPr>
            <w:tcW w:type="dxa" w:w="16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March 2024; initial five-year agreement</w:t>
            </w:r>
          </w:p>
        </w:tc>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Brand ownership, import/manufacturing and primary supply</w:t>
            </w:r>
          </w:p>
        </w:tc>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Promotion, HCP engagement and distribution across India</w:t>
            </w:r>
          </w:p>
        </w:tc>
      </w:tr>
      <w:tr>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Cipla</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Six CNS brands, explicitly including Frisium</w:t>
            </w:r>
          </w:p>
        </w:tc>
        <w:tc>
          <w:tcPr>
            <w:tcW w:type="dxa" w:w="165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March 2024</w:t>
            </w:r>
          </w:p>
        </w:tc>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Ownership, import/manufacturing</w:t>
            </w:r>
          </w:p>
        </w:tc>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Promotion and distribution through a larger CNS footprint</w:t>
            </w:r>
          </w:p>
        </w:tc>
      </w:tr>
      <w:tr>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Emcure</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Amaryl and Cetapin oral anti-diabetic range</w:t>
            </w:r>
          </w:p>
        </w:tc>
        <w:tc>
          <w:tcPr>
            <w:tcW w:type="dxa" w:w="165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July 2025; effective immediately</w:t>
            </w:r>
          </w:p>
        </w:tc>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Ownership and manufacturing; no employee transfer</w:t>
            </w:r>
          </w:p>
        </w:tc>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Promotion and distribution using its diabetes network</w:t>
            </w:r>
          </w:p>
        </w:tc>
      </w:tr>
    </w:tbl>
    <w:p>
      <w:pPr>
        <w:spacing w:after="20"/>
      </w:pPr>
    </w:p>
    <w:p>
      <w:pPr>
        <w:pStyle w:val="Heading2"/>
      </w:pPr>
      <w:r>
        <w:t>The strategic logic is credible</w:t>
      </w:r>
    </w:p>
    <w:p>
      <w:pPr>
        <w:spacing w:after="80" w:line="259" w:lineRule="auto"/>
      </w:pPr>
      <w:r>
        <w:t>A multinational field force is expensive when spread across mature molecules with limited incremental science. A local partner can call more doctors, cover smaller towns and combine Sanofi brands with its existing therapy infrastructure. SIL can retain brand ownership and manufacturing gross profit while converting commercial fixed cost into partner economics. CY25 employee cost fell ₹54.9 crore and other expenses fell ₹39.3 crore. PBT before exceptionals was flat despite an 8.7% revenue decline. That is the strongest evidence that the model can protect margins.</w:t>
      </w:r>
    </w:p>
    <w:p>
      <w:pPr>
        <w:spacing w:after="80" w:line="259" w:lineRule="auto"/>
      </w:pPr>
      <w:r>
        <w:t>The model also releases management attention for insulin. The Q2 CY26 organization describes its strategy explicitly as direct focus on insulin and a partnership model for legacy brands. If partner sales reach market growth, SIL could earn a high-return royalty-like or supply-margin stream without rebuilding fixed cost.</w:t>
      </w:r>
    </w:p>
    <w:p>
      <w:pPr>
        <w:pStyle w:val="Heading2"/>
      </w:pPr>
      <w:r>
        <w:t>The accounting can obscure underlying demand</w:t>
      </w:r>
    </w:p>
    <w:p>
      <w:pPr>
        <w:spacing w:after="80" w:line="259" w:lineRule="auto"/>
      </w:pPr>
      <w:r>
        <w:t>SIL recognizes primary sales to the partner, not secondary sales from the partner to stockists, pharmacies or hospitals. In Q1 CY25, partners built safety stock and SIL also agreed certain return provisions. That inflated the base, making H1 CY26 partnership sales look weak. The explanation is legitimate, but it also reveals why primary sales are a poor short-term demand signal.</w:t>
      </w:r>
    </w:p>
    <w:p>
      <w:pPr>
        <w:spacing w:after="80" w:line="259" w:lineRule="auto"/>
      </w:pPr>
      <w:r>
        <w:t>Q2 CY26 was a cleaner comparison and grew only 2%. Management acknowledged that this was below expectation, described competition as aggressive, and suggested industry growth may not be reached in CY26. It is evaluating CY27 as the recovery period. Amaryl sell-out was said to be at market growth, while CV and CNS were slower. The evidence therefore supports normalization of accounting noise, but not yet a successful commercial turnaround.</w:t>
      </w:r>
    </w:p>
    <w:p>
      <w:pPr>
        <w:pStyle w:val="Heading2"/>
      </w:pPr>
      <w:r>
        <w:t>Partner concentration has become a balance-sheet issue</w:t>
      </w:r>
    </w:p>
    <w:p>
      <w:pPr>
        <w:spacing w:after="80" w:line="259" w:lineRule="auto"/>
      </w:pPr>
      <w:r>
        <w:t>Emcure represented ₹503.6 crore, or 27.4%, of CY25 revenue. Sanofi-Aventis Singapore contributed another ₹228.9 crore, or 12.5%. The top two customers were therefore about 40% of revenue. Concentration is not automatically negative because both relationships are strategic and creditworthy, but it increases bargaining, inventory and forecast risk. It also means management must disclose partner sell-out, inventory and returns more transparently than a diversified branded-pharma company would.</w:t>
      </w:r>
    </w:p>
    <w:tbl>
      <w:tblPr>
        <w:tblW w:type="auto" w:w="0"/>
        <w:jc w:val="center"/>
        <w:tblLayout w:type="fixed"/>
        <w:tblLook w:firstColumn="1" w:firstRow="1" w:lastColumn="0" w:lastRow="0" w:noHBand="0" w:noVBand="1" w:val="04A0"/>
      </w:tblPr>
      <w:tblGrid>
        <w:gridCol w:w="10166"/>
      </w:tblGrid>
      <w:tr>
        <w:tc>
          <w:tcPr>
            <w:tcW w:type="dxa" w:w="9576"/>
            <w:shd w:fill="FFF7E8"/>
            <w:tcBorders>
              <w:top w:val="single" w:sz="10" w:space="0" w:color="9A6614"/>
              <w:left w:val="single" w:sz="10" w:space="0" w:color="9A6614"/>
              <w:bottom w:val="single" w:sz="10" w:space="0" w:color="9A6614"/>
              <w:right w:val="single" w:sz="10" w:space="0" w:color="9A6614"/>
              <w:insideH w:val="single" w:sz="10" w:space="0" w:color="9A6614"/>
              <w:insideV w:val="single" w:sz="10" w:space="0" w:color="9A6614"/>
            </w:tcBorders>
            <w:tcMar>
              <w:top w:w="110" w:type="dxa"/>
              <w:start w:w="150" w:type="dxa"/>
              <w:bottom w:w="110" w:type="dxa"/>
              <w:end w:w="150" w:type="dxa"/>
            </w:tcMar>
          </w:tcPr>
          <w:p>
            <w:pPr>
              <w:spacing w:after="60"/>
            </w:pPr>
            <w:r>
              <w:rPr>
                <w:b/>
                <w:color w:val="9A6614"/>
                <w:sz w:val="20"/>
              </w:rPr>
              <w:t>Partnership scorecard</w:t>
            </w:r>
          </w:p>
          <w:p>
            <w:pPr>
              <w:spacing w:after="0" w:line="252" w:lineRule="auto"/>
            </w:pPr>
            <w:r>
              <w:rPr>
                <w:color w:val="1C1C1C"/>
                <w:sz w:val="18"/>
              </w:rPr>
              <w:t>Economics: positive. Cost base: clearly improved. Reach: plausible but not quantified. Growth: unproven. Disclosure: insufficient. The model deserves credit only when secondary sales, inventory days and primary-to-secondary growth converge for several quarters.</w:t>
            </w:r>
          </w:p>
        </w:tc>
      </w:tr>
    </w:tbl>
    <w:p>
      <w:pPr>
        <w:spacing w:after="20"/>
      </w:pPr>
    </w:p>
    <w:p>
      <w:pPr>
        <w:pStyle w:val="Heading1"/>
      </w:pPr>
      <w:r>
        <w:t>8. Manufacturing and exports: Goa after the Zentiva cliff</w:t>
      </w:r>
    </w:p>
    <w:p>
      <w:pPr>
        <w:pStyle w:val="Subtitle"/>
      </w:pPr>
      <w:r>
        <w:t>The site is high quality and underappreciated, but current utilization and product-transfer economics are not disclosed well enough.</w:t>
      </w:r>
    </w:p>
    <w:p>
      <w:pPr>
        <w:pStyle w:val="Heading2"/>
      </w:pPr>
      <w:r>
        <w:t>Goa is the physical core of the company</w:t>
      </w:r>
    </w:p>
    <w:p>
      <w:pPr>
        <w:spacing w:after="80" w:line="259" w:lineRule="auto"/>
      </w:pPr>
      <w:r>
        <w:t>Sanofi India operates one GMP-compliant manufacturing site in Goa with annual capacity of about five billion oral solid doses. The site exported products to 25 countries in CY25, and roughly half its production volume was for export. It is inspected by multiple regulators, including authorities in Germany, Australia, the UK, Russia and Sri Lanka. The site is complemented by seven Indian contract manufacturing organizations.</w:t>
      </w:r>
    </w:p>
    <w:p>
      <w:pPr>
        <w:spacing w:after="80" w:line="259" w:lineRule="auto"/>
      </w:pPr>
      <w:r>
        <w:t>The plant was historically among the more cost-competitive solid-dose sites in Sanofi’s network. It provides more than export sales: it anchors supply reliability, creates an opportunity for product localization and gives the parent a reason to transfer mature or new oral-solid products into the listed entity. CY25 capex was only ₹25.7 crore, and disclosed capital commitments were ₹6.0 crore, indicating maintenance and selected upgrades rather than a major capacity build.</w:t>
      </w:r>
    </w:p>
    <w:p>
      <w:pPr>
        <w:pStyle w:val="Heading2"/>
      </w:pPr>
      <w:r>
        <w:t>The Zentiva transition created a known export cliff</w:t>
      </w:r>
    </w:p>
    <w:p>
      <w:pPr>
        <w:spacing w:after="80" w:line="259" w:lineRule="auto"/>
      </w:pPr>
      <w:r>
        <w:t>Sanofi sold the Ankleshwar site to Zentiva in May 2020 but continued transitional supply of codeine-based products while Zentiva obtained its own licenses. Those interim arrangements ended as planned. CY25 exports fell 40%, with a ₹148.1 crore year-on-year decline attributed to the anticipated cessation. This was not a surprise operational failure, but it left a fixed-cost asset with volume to replace.</w:t>
      </w:r>
    </w:p>
    <w:p>
      <w:pPr>
        <w:spacing w:after="80" w:line="259" w:lineRule="auto"/>
      </w:pPr>
      <w:r>
        <w:t>Export revenue fell from ₹408.5 crore in CY24 to ₹244.5 crore in CY25. Sanofi-Aventis Singapore remained a major customer, but sales to the affiliate fell sharply. Q2 CY26 export sales were down only 2%, suggesting the cliff is annualizing, while H1 was down 7%. Management is attempting to offset Australian mature-product pressure with France, Italy, Turkey, Russia and potential South African tenders. It also wants to insource products currently manufactured by contract manufacturers and make Goa a specialized global site for selected products.</w:t>
      </w:r>
    </w:p>
    <w:p>
      <w:pPr>
        <w:pStyle w:val="Heading2"/>
      </w:pPr>
      <w:r>
        <w:t>How to underwrite export recovery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Question</w:t>
            </w:r>
          </w:p>
        </w:tc>
        <w:tc>
          <w:tcPr>
            <w:tcW w:type="dxa" w:w="252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Bull answer</w:t>
            </w:r>
          </w:p>
        </w:tc>
        <w:tc>
          <w:tcPr>
            <w:tcW w:type="dxa" w:w="252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Bear answer</w:t>
            </w:r>
          </w:p>
        </w:tc>
        <w:tc>
          <w:tcPr>
            <w:tcW w:type="dxa" w:w="252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Required evidence</w:t>
            </w:r>
          </w:p>
        </w:tc>
      </w:tr>
      <w:tr>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Can lost volume be replaced?</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Parent transfers and new-country tenders fill capacity.</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Mature products migrate to lower-cost sites or decline.</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Named products, regulatory approvals, launch dates and annualized volume.</w:t>
            </w:r>
          </w:p>
        </w:tc>
      </w:tr>
      <w:tr>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Will margins improve?</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Incremental volumes absorb fixed cost at high contribution margin.</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Low-price tenders and transfer pricing dilute mix.</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Export gross margin or contribution disclosure.</w:t>
            </w:r>
          </w:p>
        </w:tc>
      </w:tr>
      <w:tr>
        <w:tc>
          <w:tcPr>
            <w:tcW w:type="dxa" w:w="180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Does SIL control the pipeline?</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Goa competitiveness makes it the preferred Sanofi site.</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Parent allocates products across a global network.</w:t>
            </w:r>
          </w:p>
        </w:tc>
        <w:tc>
          <w:tcPr>
            <w:tcW w:type="dxa" w:w="252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Committed transfer agreements and capex.</w:t>
            </w:r>
          </w:p>
        </w:tc>
      </w:tr>
      <w:tr>
        <w:tc>
          <w:tcPr>
            <w:tcW w:type="dxa" w:w="180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Can insourcing help?</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CMO volumes return to Goa without new commercial cost.</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Validation, cost and opportunity constraints limit transfer.</w:t>
            </w:r>
          </w:p>
        </w:tc>
        <w:tc>
          <w:tcPr>
            <w:tcW w:type="dxa" w:w="252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Utilization, batch approvals and timing.</w:t>
            </w:r>
          </w:p>
        </w:tc>
      </w:tr>
    </w:tbl>
    <w:p>
      <w:pPr>
        <w:spacing w:after="20"/>
      </w:pPr>
    </w:p>
    <w:p>
      <w:pPr>
        <w:pStyle w:val="Heading1"/>
        <w:pageBreakBefore/>
      </w:pPr>
      <w:r>
        <w:t>9. Financial history, earnings quality and cash conversion</w:t>
      </w:r>
    </w:p>
    <w:p>
      <w:pPr>
        <w:pStyle w:val="Subtitle"/>
      </w:pPr>
      <w:r>
        <w:t>The company is financially strong, but historical growth rates are distorted by divestments, demerger accounting and exceptional gains.</w:t>
      </w:r>
    </w:p>
    <w:p>
      <w:pPr>
        <w:pStyle w:val="Heading2"/>
      </w:pPr>
      <w:r>
        <w:t>Five-year reported performance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8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 crore unless stated</w:t>
            </w:r>
          </w:p>
        </w:tc>
        <w:tc>
          <w:tcPr>
            <w:tcW w:type="dxa" w:w="1181"/>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CY21</w:t>
            </w:r>
          </w:p>
        </w:tc>
        <w:tc>
          <w:tcPr>
            <w:tcW w:type="dxa" w:w="1181"/>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CY22</w:t>
            </w:r>
          </w:p>
        </w:tc>
        <w:tc>
          <w:tcPr>
            <w:tcW w:type="dxa" w:w="1181"/>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CY23*</w:t>
            </w:r>
          </w:p>
        </w:tc>
        <w:tc>
          <w:tcPr>
            <w:tcW w:type="dxa" w:w="1181"/>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CY24*</w:t>
            </w:r>
          </w:p>
        </w:tc>
        <w:tc>
          <w:tcPr>
            <w:tcW w:type="dxa" w:w="1181"/>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CY25*</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Revenue from operations</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2,956.6</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2,770.1</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1,996.1</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2,013.2</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1,837.4</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EBITDA before exceptional items</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836.9</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775.9</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548.9</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507.3</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511.0</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EBITDA margin</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28.3%</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28.0%</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27.5%</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25.2%</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27.8%</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PAT</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944.4</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620.6</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364.6</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313.7</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326.7</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EPS, ₹</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410.06</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269.47</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158.31</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136.21</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141.85</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Net worth</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2,225.6</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1,275.8</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1,015.5</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860.6</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749.2</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ROCE</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34.6%</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67.8%</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52.0%</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50.3%</w:t>
            </w:r>
          </w:p>
        </w:tc>
        <w:tc>
          <w:tcPr>
            <w:tcW w:type="dxa" w:w="1181"/>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59.6%</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Dividend per share, ₹</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490</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570</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167</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117</w:t>
            </w:r>
          </w:p>
        </w:tc>
        <w:tc>
          <w:tcPr>
            <w:tcW w:type="dxa" w:w="1181"/>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123</w:t>
            </w:r>
          </w:p>
        </w:tc>
      </w:tr>
    </w:tbl>
    <w:p>
      <w:pPr>
        <w:spacing w:after="20"/>
      </w:pPr>
    </w:p>
    <w:p>
      <w:r>
        <w:rPr>
          <w:i/>
          <w:sz w:val="15"/>
        </w:rPr>
        <w:t>* CY23 onward shown on the continuing-operations basis in the CY25 annual report. Earlier years contain different portfolios and are not comparable. PAT includes exceptional items in earlier periods.</w:t>
      </w:r>
    </w:p>
    <w:p>
      <w:r>
        <w:drawing>
          <wp:inline xmlns:a="http://schemas.openxmlformats.org/drawingml/2006/main" xmlns:pic="http://schemas.openxmlformats.org/drawingml/2006/picture">
            <wp:extent cx="6080760" cy="2663696"/>
            <wp:docPr id="2" name="Picture 2"/>
            <wp:cNvGraphicFramePr>
              <a:graphicFrameLocks noChangeAspect="1"/>
            </wp:cNvGraphicFramePr>
            <a:graphic>
              <a:graphicData uri="http://schemas.openxmlformats.org/drawingml/2006/picture">
                <pic:pic>
                  <pic:nvPicPr>
                    <pic:cNvPr id="0" name="financial_history.png"/>
                    <pic:cNvPicPr/>
                  </pic:nvPicPr>
                  <pic:blipFill>
                    <a:blip r:embed="rId12"/>
                    <a:stretch>
                      <a:fillRect/>
                    </a:stretch>
                  </pic:blipFill>
                  <pic:spPr>
                    <a:xfrm>
                      <a:off x="0" y="0"/>
                      <a:ext cx="6080760" cy="2663696"/>
                    </a:xfrm>
                    <a:prstGeom prst="rect"/>
                  </pic:spPr>
                </pic:pic>
              </a:graphicData>
            </a:graphic>
          </wp:inline>
        </w:drawing>
      </w:r>
    </w:p>
    <w:p>
      <w:pPr>
        <w:jc w:val="center"/>
      </w:pPr>
      <w:r>
        <w:rPr>
          <w:i/>
          <w:sz w:val="16"/>
        </w:rPr>
        <w:t>Exhibit 2. The revenue base has been deliberately reduced; CY25 margin recovery was cost-led.</w:t>
      </w:r>
    </w:p>
    <w:p>
      <w:pPr>
        <w:pStyle w:val="Heading2"/>
      </w:pPr>
      <w:r>
        <w:t>CY25 bridge: lower sales, stable gross margin, lower opex</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 crore</w:t>
            </w:r>
          </w:p>
        </w:tc>
        <w:tc>
          <w:tcPr>
            <w:tcW w:type="dxa" w:w="10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CY24</w:t>
            </w:r>
          </w:p>
        </w:tc>
        <w:tc>
          <w:tcPr>
            <w:tcW w:type="dxa" w:w="10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CY25</w:t>
            </w:r>
          </w:p>
        </w:tc>
        <w:tc>
          <w:tcPr>
            <w:tcW w:type="dxa" w:w="10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Change</w:t>
            </w:r>
          </w:p>
        </w:tc>
        <w:tc>
          <w:tcPr>
            <w:tcW w:type="dxa" w:w="396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Interpretation</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Revenue from operations</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2,013.2</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1,837.4</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-8.7%</w:t>
            </w:r>
          </w:p>
        </w:tc>
        <w:tc>
          <w:tcPr>
            <w:tcW w:type="dxa" w:w="39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Exports drove the decline; domestic revenue was approximately flat.</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Gross profit</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1,033.9</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940.2</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-9.1%</w:t>
            </w:r>
          </w:p>
        </w:tc>
        <w:tc>
          <w:tcPr>
            <w:tcW w:type="dxa" w:w="39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Gross margin remained around 51%, so gross profit moved with revenue.</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Employee cost</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240.2</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185.3</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-22.9%</w:t>
            </w:r>
          </w:p>
        </w:tc>
        <w:tc>
          <w:tcPr>
            <w:tcW w:type="dxa" w:w="39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Restructuring and partner migration reduced fixed cost.</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Other expenses</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302.9</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263.6</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-13.0%</w:t>
            </w:r>
          </w:p>
        </w:tc>
        <w:tc>
          <w:tcPr>
            <w:tcW w:type="dxa" w:w="39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Selling, distribution, travel and toll-manufacturing expense declined.</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PBT before exceptionals</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469.1</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472.0</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+0.6%</w:t>
            </w:r>
          </w:p>
        </w:tc>
        <w:tc>
          <w:tcPr>
            <w:tcW w:type="dxa" w:w="39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Opex savings fully offset gross-profit decline.</w:t>
            </w:r>
          </w:p>
        </w:tc>
      </w:tr>
      <w:tr>
        <w:tc>
          <w:tcPr>
            <w:tcW w:type="dxa" w:w="22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Exceptional separation cost</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37.7</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27.3</w:t>
            </w:r>
          </w:p>
        </w:tc>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-27.6%</w:t>
            </w:r>
          </w:p>
        </w:tc>
        <w:tc>
          <w:tcPr>
            <w:tcW w:type="dxa" w:w="39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Restructuring remains visible and should not be treated as recurring operating expense.</w:t>
            </w:r>
          </w:p>
        </w:tc>
      </w:tr>
      <w:tr>
        <w:tc>
          <w:tcPr>
            <w:tcW w:type="dxa" w:w="22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PAT from continuing operations</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313.7</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326.7</w:t>
            </w:r>
          </w:p>
        </w:tc>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+4.1%</w:t>
            </w:r>
          </w:p>
        </w:tc>
        <w:tc>
          <w:tcPr>
            <w:tcW w:type="dxa" w:w="39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Tax and lower exceptional cost helped.</w:t>
            </w:r>
          </w:p>
        </w:tc>
      </w:tr>
    </w:tbl>
    <w:p>
      <w:pPr>
        <w:spacing w:after="20"/>
      </w:pPr>
    </w:p>
    <w:p>
      <w:pPr>
        <w:pStyle w:val="Heading2"/>
      </w:pPr>
      <w:r>
        <w:t>Cash conversion was strong, but working capital and dividends require nuance</w:t>
      </w:r>
    </w:p>
    <w:p>
      <w:pPr>
        <w:spacing w:after="80" w:line="259" w:lineRule="auto"/>
      </w:pPr>
      <w:r>
        <w:t>CY25 operating cash flow was ₹438.3 crore against PAT of ₹326.7 crore. Capex and intangible investment were ₹25.7 crore, producing free cash flow of about ₹412.6 crore. However, cash generation benefited from inventory reduction of ₹188.2 crore and receivable reduction of ₹53.1 crore, partly offset by a ₹214.9 crore decline in trade payables. This is genuine cash, but not all of it is repeatable operating growth.</w:t>
      </w:r>
    </w:p>
    <w:p>
      <w:pPr>
        <w:spacing w:after="80" w:line="259" w:lineRule="auto"/>
      </w:pPr>
      <w:r>
        <w:t>Dividends paid during CY25 were ₹442.2 crore, exceeding free cash flow for the year and causing cash to decline. The board declared total CY25 dividend of ₹123 per share, equivalent to 86.7% of CY25 EPS. The company still has ample liquidity and no conventional debt, but the pattern is clear: excess cash is returned rather than accumulated for large local investments.</w:t>
      </w:r>
    </w:p>
    <w:p>
      <w:pPr>
        <w:pStyle w:val="Heading2"/>
      </w:pPr>
      <w:r>
        <w:t>Returns are high partly because equity has been distributed</w:t>
      </w:r>
    </w:p>
    <w:p>
      <w:pPr>
        <w:spacing w:after="80" w:line="259" w:lineRule="auto"/>
      </w:pPr>
      <w:r>
        <w:t>CY25 ROE was 40.6% and ROCE 59.6%, excellent by any conventional benchmark. But net worth has fallen from ₹2,225.6 crore in CY21 to ₹749.2 crore in CY25 because of special dividends, asset sales and the consumer demerger. The numerator is respectable; the denominator has also been deliberately reduced. High returns therefore signal a capital-light business and cash extraction, not necessarily a large reinvestment runway.</w:t>
      </w:r>
    </w:p>
    <w:p>
      <w:pPr>
        <w:pStyle w:val="Heading2"/>
      </w:pPr>
      <w:r>
        <w:t>H1 CY26: a weak first quarter followed by a strong second quarter</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01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 crore</w:t>
            </w:r>
          </w:p>
        </w:tc>
        <w:tc>
          <w:tcPr>
            <w:tcW w:type="dxa" w:w="1195"/>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H1 CY25</w:t>
            </w:r>
          </w:p>
        </w:tc>
        <w:tc>
          <w:tcPr>
            <w:tcW w:type="dxa" w:w="1195"/>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H1 CY26</w:t>
            </w:r>
          </w:p>
        </w:tc>
        <w:tc>
          <w:tcPr>
            <w:tcW w:type="dxa" w:w="893"/>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YoY</w:t>
            </w:r>
          </w:p>
        </w:tc>
        <w:tc>
          <w:tcPr>
            <w:tcW w:type="dxa" w:w="1195"/>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Q2 CY25</w:t>
            </w:r>
          </w:p>
        </w:tc>
        <w:tc>
          <w:tcPr>
            <w:tcW w:type="dxa" w:w="1195"/>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Q2 CY26</w:t>
            </w:r>
          </w:p>
        </w:tc>
        <w:tc>
          <w:tcPr>
            <w:tcW w:type="dxa" w:w="893"/>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YoY</w:t>
            </w:r>
          </w:p>
        </w:tc>
      </w:tr>
      <w:tr>
        <w:tc>
          <w:tcPr>
            <w:tcW w:type="dxa" w:w="201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Total income</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954.2</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920.6</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-3.5%</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415.0</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443.9</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+7.0%</w:t>
            </w:r>
          </w:p>
        </w:tc>
      </w:tr>
      <w:tr>
        <w:tc>
          <w:tcPr>
            <w:tcW w:type="dxa" w:w="201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Product net sales</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889.3</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869.0</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-2.3%</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391.2</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416.2</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+6.4%</w:t>
            </w:r>
          </w:p>
        </w:tc>
      </w:tr>
      <w:tr>
        <w:tc>
          <w:tcPr>
            <w:tcW w:type="dxa" w:w="201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Domestic net sales</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765.1</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752.8</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-1.6%</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329.8</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355.9</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+7.9%</w:t>
            </w:r>
          </w:p>
        </w:tc>
      </w:tr>
      <w:tr>
        <w:tc>
          <w:tcPr>
            <w:tcW w:type="dxa" w:w="201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Export sales</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124.3</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116.2</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-6.5%</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61.4</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60.3</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-1.8%</w:t>
            </w:r>
          </w:p>
        </w:tc>
      </w:tr>
      <w:tr>
        <w:tc>
          <w:tcPr>
            <w:tcW w:type="dxa" w:w="201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PBT before exceptionals</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259.4</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250.2</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-3.5%</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94.1</w:t>
            </w:r>
          </w:p>
        </w:tc>
        <w:tc>
          <w:tcPr>
            <w:tcW w:type="dxa" w:w="1195"/>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112.3</w:t>
            </w:r>
          </w:p>
        </w:tc>
        <w:tc>
          <w:tcPr>
            <w:tcW w:type="dxa" w:w="893"/>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+19.3%</w:t>
            </w:r>
          </w:p>
        </w:tc>
      </w:tr>
      <w:tr>
        <w:tc>
          <w:tcPr>
            <w:tcW w:type="dxa" w:w="201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PAT</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189.0</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186.1</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-1.5%</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69.5</w:t>
            </w:r>
          </w:p>
        </w:tc>
        <w:tc>
          <w:tcPr>
            <w:tcW w:type="dxa" w:w="1195"/>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83.5</w:t>
            </w:r>
          </w:p>
        </w:tc>
        <w:tc>
          <w:tcPr>
            <w:tcW w:type="dxa" w:w="893"/>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4"/>
              </w:rPr>
              <w:t>+20.1%</w:t>
            </w:r>
          </w:p>
        </w:tc>
      </w:tr>
    </w:tbl>
    <w:p>
      <w:pPr>
        <w:spacing w:after="20"/>
      </w:pPr>
    </w:p>
    <w:p>
      <w:pPr>
        <w:spacing w:after="80" w:line="259" w:lineRule="auto"/>
      </w:pPr>
      <w:r>
        <w:t>The sequential pattern supports management’s explanation that Q1 was distorted by the partnership transition base. Q2 domestic growth and margin expansion were real. The key question is whether Q2 is the new run rate or merely one strong quarter. H2 needs to show continued insulin growth and less partnership volatility.</w:t>
      </w:r>
    </w:p>
    <w:p>
      <w:pPr>
        <w:pStyle w:val="Heading1"/>
      </w:pPr>
      <w:r>
        <w:t>10. Bottom-up earnings framework and scenarios</w:t>
      </w:r>
    </w:p>
    <w:p>
      <w:pPr>
        <w:pStyle w:val="Subtitle"/>
      </w:pPr>
      <w:r>
        <w:t>A useful model should forecast the four engines separately and avoid using historical company CAGR.</w:t>
      </w:r>
    </w:p>
    <w:p>
      <w:pPr>
        <w:pStyle w:val="Heading2"/>
      </w:pPr>
      <w:r>
        <w:t>Recommended model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Line item</w:t>
            </w:r>
          </w:p>
        </w:tc>
        <w:tc>
          <w:tcPr>
            <w:tcW w:type="dxa" w:w="46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Primary drivers</w:t>
            </w:r>
          </w:p>
        </w:tc>
        <w:tc>
          <w:tcPr>
            <w:tcW w:type="dxa" w:w="28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Best external checks</w:t>
            </w:r>
          </w:p>
        </w:tc>
      </w:tr>
      <w:tr>
        <w:tc>
          <w:tcPr>
            <w:tcW w:type="dxa" w:w="18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domestic sales</w:t>
            </w:r>
          </w:p>
        </w:tc>
        <w:tc>
          <w:tcPr>
            <w:tcW w:type="dxa" w:w="46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Patient volume, market share, public/private mix, Lantus price, Toujeo mix, Soliqua and Apidra growth</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IQVIA volume/value share; NPPA prices; public tenders; product availability</w:t>
            </w:r>
          </w:p>
        </w:tc>
      </w:tr>
      <w:tr>
        <w:tc>
          <w:tcPr>
            <w:tcW w:type="dxa" w:w="18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Partnership domestic sales</w:t>
            </w:r>
          </w:p>
        </w:tc>
        <w:tc>
          <w:tcPr>
            <w:tcW w:type="dxa" w:w="46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Partner secondary growth, channel inventory, returns, partner field-force focus, market growth</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Emcure/Cipla commentary; IQVIA brand growth; receivables and primary sales</w:t>
            </w:r>
          </w:p>
        </w:tc>
      </w:tr>
      <w:tr>
        <w:tc>
          <w:tcPr>
            <w:tcW w:type="dxa" w:w="18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Other domestic</w:t>
            </w:r>
          </w:p>
        </w:tc>
        <w:tc>
          <w:tcPr>
            <w:tcW w:type="dxa" w:w="46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Residual direct brands and discontinued service effects</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Quarterly presentation bridge</w:t>
            </w:r>
          </w:p>
        </w:tc>
      </w:tr>
      <w:tr>
        <w:tc>
          <w:tcPr>
            <w:tcW w:type="dxa" w:w="18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Exports</w:t>
            </w:r>
          </w:p>
        </w:tc>
        <w:tc>
          <w:tcPr>
            <w:tcW w:type="dxa" w:w="46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Goa product volumes, Sanofi affiliate demand, tenders, Australia pressure, new transfers</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Geographic revenue; major customer disclosure; regulatory approvals</w:t>
            </w:r>
          </w:p>
        </w:tc>
      </w:tr>
      <w:tr>
        <w:tc>
          <w:tcPr>
            <w:tcW w:type="dxa" w:w="18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Other operating income</w:t>
            </w:r>
          </w:p>
        </w:tc>
        <w:tc>
          <w:tcPr>
            <w:tcW w:type="dxa" w:w="46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Intercompany services to SHIPL/SCHIL and parent affiliates</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Related-party note; service agreements</w:t>
            </w:r>
          </w:p>
        </w:tc>
      </w:tr>
      <w:tr>
        <w:tc>
          <w:tcPr>
            <w:tcW w:type="dxa" w:w="18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Gross margin</w:t>
            </w:r>
          </w:p>
        </w:tc>
        <w:tc>
          <w:tcPr>
            <w:tcW w:type="dxa" w:w="46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mix, import cost, partner transfer economics, tender/export mix, inventory movement</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Raw materials, stock-in-trade and inventory-change lines</w:t>
            </w:r>
          </w:p>
        </w:tc>
      </w:tr>
      <w:tr>
        <w:tc>
          <w:tcPr>
            <w:tcW w:type="dxa" w:w="18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Opex</w:t>
            </w:r>
          </w:p>
        </w:tc>
        <w:tc>
          <w:tcPr>
            <w:tcW w:type="dxa" w:w="46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Field-force investment, partner savings, inflation, restructuring, digital programs</w:t>
            </w:r>
          </w:p>
        </w:tc>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Employee cost, selling/distribution, travel, separation cost</w:t>
            </w:r>
          </w:p>
        </w:tc>
      </w:tr>
      <w:tr>
        <w:tc>
          <w:tcPr>
            <w:tcW w:type="dxa" w:w="18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Tax / cash</w:t>
            </w:r>
          </w:p>
        </w:tc>
        <w:tc>
          <w:tcPr>
            <w:tcW w:type="dxa" w:w="46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25.17% statutory tax, working capital, capex and dividends</w:t>
            </w:r>
          </w:p>
        </w:tc>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Tax note, cash flow, board payout</w:t>
            </w:r>
          </w:p>
        </w:tc>
      </w:tr>
    </w:tbl>
    <w:p>
      <w:pPr>
        <w:spacing w:after="20"/>
      </w:pPr>
    </w:p>
    <w:p>
      <w:pPr>
        <w:pStyle w:val="Heading2"/>
      </w:pPr>
      <w:r>
        <w:t>A practical CY26-CY27 scenario framework</w:t>
      </w:r>
    </w:p>
    <w:p>
      <w:pPr>
        <w:spacing w:after="80" w:line="259" w:lineRule="auto"/>
      </w:pPr>
      <w:r>
        <w:t>The table below is an analyst learning framework, not company guidance or a formal target price. It starts from LTM EPS of about ₹140.6 through June 2026. The scenarios are deliberately simple so each assumption can be falsified by quarterly data.</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0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Scenario</w:t>
            </w:r>
          </w:p>
        </w:tc>
        <w:tc>
          <w:tcPr>
            <w:tcW w:type="dxa" w:w="511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Operating assumptions</w:t>
            </w:r>
          </w:p>
        </w:tc>
        <w:tc>
          <w:tcPr>
            <w:tcW w:type="dxa" w:w="129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Illustrative CY27 EPS</w:t>
            </w:r>
          </w:p>
        </w:tc>
        <w:tc>
          <w:tcPr>
            <w:tcW w:type="dxa" w:w="115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Illustrative P/E</w:t>
            </w:r>
          </w:p>
        </w:tc>
        <w:tc>
          <w:tcPr>
            <w:tcW w:type="dxa" w:w="122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Implied value</w:t>
            </w:r>
          </w:p>
        </w:tc>
      </w:tr>
      <w:tr>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Bear</w:t>
            </w:r>
          </w:p>
        </w:tc>
        <w:tc>
          <w:tcPr>
            <w:tcW w:type="dxa" w:w="511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slows to mid-single digits; partnerships remain flat; exports fall further; margin slips toward 25-26%.</w:t>
            </w:r>
          </w:p>
        </w:tc>
        <w:tc>
          <w:tcPr>
            <w:tcW w:type="dxa" w:w="12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₹135</w:t>
            </w:r>
          </w:p>
        </w:tc>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18x</w:t>
            </w:r>
          </w:p>
        </w:tc>
        <w:tc>
          <w:tcPr>
            <w:tcW w:type="dxa" w:w="12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₹2,430</w:t>
            </w:r>
          </w:p>
        </w:tc>
      </w:tr>
      <w:tr>
        <w:tc>
          <w:tcPr>
            <w:tcW w:type="dxa" w:w="10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Base</w:t>
            </w:r>
          </w:p>
        </w:tc>
        <w:tc>
          <w:tcPr>
            <w:tcW w:type="dxa" w:w="511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grows 10-12%; partnerships reach 5-6% by CY27; exports stabilize; margin holds 27-28%.</w:t>
            </w:r>
          </w:p>
        </w:tc>
        <w:tc>
          <w:tcPr>
            <w:tcW w:type="dxa" w:w="12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₹165</w:t>
            </w:r>
          </w:p>
        </w:tc>
        <w:tc>
          <w:tcPr>
            <w:tcW w:type="dxa" w:w="11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24x</w:t>
            </w:r>
          </w:p>
        </w:tc>
        <w:tc>
          <w:tcPr>
            <w:tcW w:type="dxa" w:w="122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₹3,960</w:t>
            </w:r>
          </w:p>
        </w:tc>
      </w:tr>
      <w:tr>
        <w:tc>
          <w:tcPr>
            <w:tcW w:type="dxa" w:w="10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Bull</w:t>
            </w:r>
          </w:p>
        </w:tc>
        <w:tc>
          <w:tcPr>
            <w:tcW w:type="dxa" w:w="511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stays mid-teens; partner sell-out reaches market growth; Goa gains transfers/tenders; margin reaches 29-30%.</w:t>
            </w:r>
          </w:p>
        </w:tc>
        <w:tc>
          <w:tcPr>
            <w:tcW w:type="dxa" w:w="12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₹185</w:t>
            </w:r>
          </w:p>
        </w:tc>
        <w:tc>
          <w:tcPr>
            <w:tcW w:type="dxa" w:w="11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28x</w:t>
            </w:r>
          </w:p>
        </w:tc>
        <w:tc>
          <w:tcPr>
            <w:tcW w:type="dxa" w:w="122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5"/>
              </w:rPr>
              <w:t>₹5,180</w:t>
            </w:r>
          </w:p>
        </w:tc>
      </w:tr>
    </w:tbl>
    <w:p>
      <w:pPr>
        <w:spacing w:after="20"/>
      </w:pPr>
    </w:p>
    <w:p>
      <w:pPr>
        <w:spacing w:after="80" w:line="259" w:lineRule="auto"/>
      </w:pPr>
      <w:r>
        <w:t>At about ₹3,131 per share, the market appears to price a result between the bear and base cases. The stock can work without a major new launch if insulin compounds and partner brands recover modestly. A premium outcome requires an additional leg: export replacement, an explicitly allocated new product, or a demonstrably superior Toujeo/Soliqua mix shift.</w:t>
      </w:r>
    </w:p>
    <w:p>
      <w:pPr>
        <w:pStyle w:val="Heading2"/>
      </w:pPr>
      <w:r>
        <w:t>Sensitivity hierarchy</w:t>
      </w:r>
    </w:p>
    <w:p>
      <w:pPr>
        <w:pStyle w:val="ListNumber"/>
        <w:spacing w:after="40"/>
      </w:pPr>
      <w:r>
        <w:rPr>
          <w:b/>
        </w:rPr>
        <w:t xml:space="preserve">Insulin growth. </w:t>
      </w:r>
      <w:r>
        <w:t>Every 5 percentage points of growth on the Q2 annualized insulin base is more valuable than a similar rate on smaller categories because it also improves mix and utilizes the direct commercial platform.</w:t>
      </w:r>
    </w:p>
    <w:p>
      <w:pPr>
        <w:pStyle w:val="ListNumber"/>
        <w:spacing w:after="40"/>
      </w:pPr>
      <w:r>
        <w:rPr>
          <w:b/>
        </w:rPr>
        <w:t xml:space="preserve">Partnership normalization. </w:t>
      </w:r>
      <w:r>
        <w:t>Growth has high incremental margin, but primary inventory can create false positives. Use secondary sales where possible.</w:t>
      </w:r>
    </w:p>
    <w:p>
      <w:pPr>
        <w:pStyle w:val="ListNumber"/>
        <w:spacing w:after="40"/>
      </w:pPr>
      <w:r>
        <w:rPr>
          <w:b/>
        </w:rPr>
        <w:t xml:space="preserve">Gross margin. </w:t>
      </w:r>
      <w:r>
        <w:t>A 100bp move on roughly ₹1,900 crore of revenue changes pre-tax profit by about ₹19 crore, or roughly ₹6 per share after tax.</w:t>
      </w:r>
    </w:p>
    <w:p>
      <w:pPr>
        <w:pStyle w:val="ListNumber"/>
        <w:spacing w:after="40"/>
      </w:pPr>
      <w:r>
        <w:rPr>
          <w:b/>
        </w:rPr>
        <w:t xml:space="preserve">Export utilization. </w:t>
      </w:r>
      <w:r>
        <w:t>Incremental Goa volume can carry attractive contribution if fixed costs are already absorbed, but transfer pricing and tender price can reverse this.</w:t>
      </w:r>
    </w:p>
    <w:p>
      <w:pPr>
        <w:pStyle w:val="ListNumber"/>
        <w:spacing w:after="40"/>
      </w:pPr>
      <w:r>
        <w:rPr>
          <w:b/>
        </w:rPr>
        <w:t xml:space="preserve">Opex reinvestment. </w:t>
      </w:r>
      <w:r>
        <w:t>CY25 savings create a low base. Faster growth may require medical, digital, public-market and device spending.</w:t>
      </w:r>
    </w:p>
    <w:p>
      <w:pPr>
        <w:pStyle w:val="Heading1"/>
        <w:pageBreakBefore/>
      </w:pPr>
      <w:r>
        <w:t>11. Valuation, capital allocation and peer context</w:t>
      </w:r>
    </w:p>
    <w:p>
      <w:pPr>
        <w:pStyle w:val="Subtitle"/>
      </w:pPr>
      <w:r>
        <w:t>The current multiple is reasonable for a stable MNC cash compounder, but not obviously cheap if company growth remains below market.</w:t>
      </w:r>
    </w:p>
    <w:p>
      <w:pPr>
        <w:pStyle w:val="Heading2"/>
      </w:pPr>
      <w:r>
        <w:t>Current trading frame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Metric</w:t>
            </w:r>
          </w:p>
        </w:tc>
        <w:tc>
          <w:tcPr>
            <w:tcW w:type="dxa" w:w="403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Calculation</w:t>
            </w:r>
          </w:p>
        </w:tc>
        <w:tc>
          <w:tcPr>
            <w:tcW w:type="dxa" w:w="244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Approximate value</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Market capitalization</w:t>
            </w:r>
          </w:p>
        </w:tc>
        <w:tc>
          <w:tcPr>
            <w:tcW w:type="dxa" w:w="40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₹3,131 × 23.03m shares</w:t>
            </w:r>
          </w:p>
        </w:tc>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₹7,211cr</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PAT to Jun-26</w:t>
            </w:r>
          </w:p>
        </w:tc>
        <w:tc>
          <w:tcPr>
            <w:tcW w:type="dxa" w:w="40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PAT - H1 CY25 PAT + H1 CY26 PAT</w:t>
            </w:r>
          </w:p>
        </w:tc>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₹323.8cr</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EPS</w:t>
            </w:r>
          </w:p>
        </w:tc>
        <w:tc>
          <w:tcPr>
            <w:tcW w:type="dxa" w:w="40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PAT / shares</w:t>
            </w:r>
          </w:p>
        </w:tc>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₹140.6</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P/E</w:t>
            </w:r>
          </w:p>
        </w:tc>
        <w:tc>
          <w:tcPr>
            <w:tcW w:type="dxa" w:w="40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Share price / LTM EPS</w:t>
            </w:r>
          </w:p>
        </w:tc>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22.3x</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Cash at Jun-26</w:t>
            </w:r>
          </w:p>
        </w:tc>
        <w:tc>
          <w:tcPr>
            <w:tcW w:type="dxa" w:w="40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Cash and equivalents disclosed</w:t>
            </w:r>
          </w:p>
        </w:tc>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₹359.0cr</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Approximate enterprise value</w:t>
            </w:r>
          </w:p>
        </w:tc>
        <w:tc>
          <w:tcPr>
            <w:tcW w:type="dxa" w:w="40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Market cap - cash</w:t>
            </w:r>
          </w:p>
        </w:tc>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₹6,852cr</w:t>
            </w:r>
          </w:p>
        </w:tc>
      </w:tr>
      <w:tr>
        <w:tc>
          <w:tcPr>
            <w:tcW w:type="dxa" w:w="288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dividend yield</w:t>
            </w:r>
          </w:p>
        </w:tc>
        <w:tc>
          <w:tcPr>
            <w:tcW w:type="dxa" w:w="403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₹123 / ₹3,131</w:t>
            </w:r>
          </w:p>
        </w:tc>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3.9%</w:t>
            </w:r>
          </w:p>
        </w:tc>
      </w:tr>
      <w:tr>
        <w:tc>
          <w:tcPr>
            <w:tcW w:type="dxa" w:w="288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52-week drawdown</w:t>
            </w:r>
          </w:p>
        </w:tc>
        <w:tc>
          <w:tcPr>
            <w:tcW w:type="dxa" w:w="403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₹3,131 vs high around ₹5,114</w:t>
            </w:r>
          </w:p>
        </w:tc>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about -39%</w:t>
            </w:r>
          </w:p>
        </w:tc>
      </w:tr>
    </w:tbl>
    <w:p>
      <w:pPr>
        <w:spacing w:after="20"/>
      </w:pPr>
    </w:p>
    <w:p>
      <w:pPr>
        <w:pStyle w:val="Heading2"/>
      </w:pPr>
      <w:r>
        <w:t>Peer context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Company</w:t>
            </w:r>
          </w:p>
        </w:tc>
        <w:tc>
          <w:tcPr>
            <w:tcW w:type="dxa" w:w="201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Approx. Sep-26 P/E</w:t>
            </w:r>
          </w:p>
        </w:tc>
        <w:tc>
          <w:tcPr>
            <w:tcW w:type="dxa" w:w="518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Why the multiple differs</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Sanofi India</w:t>
            </w:r>
          </w:p>
        </w:tc>
        <w:tc>
          <w:tcPr>
            <w:tcW w:type="dxa" w:w="201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22x</w:t>
            </w:r>
          </w:p>
        </w:tc>
        <w:tc>
          <w:tcPr>
            <w:tcW w:type="dxa" w:w="51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Focused insulin franchise, weak recent revenue growth, high payout, limited disclosed pipeline.</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Pfizer India</w:t>
            </w:r>
          </w:p>
        </w:tc>
        <w:tc>
          <w:tcPr>
            <w:tcW w:type="dxa" w:w="201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24-25x</w:t>
            </w:r>
          </w:p>
        </w:tc>
        <w:tc>
          <w:tcPr>
            <w:tcW w:type="dxa" w:w="51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Broader innovation/vaccine optionality but also parent-perimeter and mature-brand questions.</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Abbott India</w:t>
            </w:r>
          </w:p>
        </w:tc>
        <w:tc>
          <w:tcPr>
            <w:tcW w:type="dxa" w:w="201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33-34x</w:t>
            </w:r>
          </w:p>
        </w:tc>
        <w:tc>
          <w:tcPr>
            <w:tcW w:type="dxa" w:w="51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Long record of double-digit branded growth, diversified chronic portfolio and better visibility.</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GSK Pharmaceuticals India</w:t>
            </w:r>
          </w:p>
        </w:tc>
        <w:tc>
          <w:tcPr>
            <w:tcW w:type="dxa" w:w="201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about 45x</w:t>
            </w:r>
          </w:p>
        </w:tc>
        <w:tc>
          <w:tcPr>
            <w:tcW w:type="dxa" w:w="51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Vaccine and specialty growth expectations, strong recent operating momentum; high valuation risk.</w:t>
            </w:r>
          </w:p>
        </w:tc>
      </w:tr>
    </w:tbl>
    <w:p>
      <w:pPr>
        <w:spacing w:after="20"/>
      </w:pPr>
    </w:p>
    <w:p>
      <w:r>
        <w:rPr>
          <w:i/>
          <w:sz w:val="15"/>
        </w:rPr>
        <w:t>Peer multiples are point-in-time indications from public market data and are not adjusted for accounting period, cash, product mix or one-offs.</w:t>
      </w:r>
    </w:p>
    <w:p>
      <w:pPr>
        <w:pStyle w:val="Heading2"/>
      </w:pPr>
      <w:r>
        <w:t>Why Sanofi trades at a discount</w:t>
      </w:r>
    </w:p>
    <w:p>
      <w:pPr>
        <w:pStyle w:val="ListBullet"/>
        <w:spacing w:after="40"/>
        <w:ind w:left="0"/>
      </w:pPr>
      <w:r>
        <w:t>CY25 revenue declined and H1 CY26 remained down despite the Q2 rebound.</w:t>
      </w:r>
    </w:p>
    <w:p>
      <w:pPr>
        <w:pStyle w:val="ListBullet"/>
        <w:spacing w:after="40"/>
        <w:ind w:left="0"/>
      </w:pPr>
      <w:r>
        <w:t>The listed entity lacks a disclosed specialty-care pipeline and should not receive the parent’s innovation multiple.</w:t>
      </w:r>
    </w:p>
    <w:p>
      <w:pPr>
        <w:pStyle w:val="ListBullet"/>
        <w:spacing w:after="40"/>
        <w:ind w:left="0"/>
      </w:pPr>
      <w:r>
        <w:t>Partnered brands are growing below the India pharma market.</w:t>
      </w:r>
    </w:p>
    <w:p>
      <w:pPr>
        <w:pStyle w:val="ListBullet"/>
        <w:spacing w:after="40"/>
        <w:ind w:left="0"/>
      </w:pPr>
      <w:r>
        <w:t>Exports have fallen and replacement is not yet quantified.</w:t>
      </w:r>
    </w:p>
    <w:p>
      <w:pPr>
        <w:pStyle w:val="ListBullet"/>
        <w:spacing w:after="40"/>
        <w:ind w:left="0"/>
      </w:pPr>
      <w:r>
        <w:t>Insulin concentration creates product and policy risk.</w:t>
      </w:r>
    </w:p>
    <w:p>
      <w:pPr>
        <w:pStyle w:val="ListBullet"/>
        <w:spacing w:after="40"/>
        <w:ind w:left="0"/>
      </w:pPr>
      <w:r>
        <w:t>The CFO transition and limited segment disclosure reduce confidence in near-term forecasting.</w:t>
      </w:r>
    </w:p>
    <w:p>
      <w:pPr>
        <w:pStyle w:val="Heading2"/>
      </w:pPr>
      <w:r>
        <w:t>Why the discount could close</w:t>
      </w:r>
    </w:p>
    <w:p>
      <w:pPr>
        <w:pStyle w:val="ListBullet"/>
        <w:spacing w:after="40"/>
        <w:ind w:left="0"/>
      </w:pPr>
      <w:r>
        <w:t>Two to three quarters of double-digit insulin growth with stable Lantus volume and rising Toujeo/Soliqua mix.</w:t>
      </w:r>
    </w:p>
    <w:p>
      <w:pPr>
        <w:pStyle w:val="ListBullet"/>
        <w:spacing w:after="40"/>
        <w:ind w:left="0"/>
      </w:pPr>
      <w:r>
        <w:t>Partnership sales outgrowing or matching market without inventory build.</w:t>
      </w:r>
    </w:p>
    <w:p>
      <w:pPr>
        <w:pStyle w:val="ListBullet"/>
        <w:spacing w:after="40"/>
        <w:ind w:left="0"/>
      </w:pPr>
      <w:r>
        <w:t>A named Goa transfer or export tender with quantified revenue.</w:t>
      </w:r>
    </w:p>
    <w:p>
      <w:pPr>
        <w:pStyle w:val="ListBullet"/>
        <w:spacing w:after="40"/>
        <w:ind w:left="0"/>
      </w:pPr>
      <w:r>
        <w:t>An explicitly allocated new diabetes product or device with SIL economics.</w:t>
      </w:r>
    </w:p>
    <w:p>
      <w:pPr>
        <w:pStyle w:val="ListBullet"/>
        <w:spacing w:after="40"/>
        <w:ind w:left="0"/>
      </w:pPr>
      <w:r>
        <w:t>A stable 27-29% pre-exception margin while revenue returns to growth.</w:t>
      </w:r>
    </w:p>
    <w:p>
      <w:pPr>
        <w:pStyle w:val="ListBullet"/>
        <w:spacing w:after="40"/>
        <w:ind w:left="0"/>
      </w:pPr>
      <w:r>
        <w:t>A credible CFO appointment and improved product/channel disclosure.</w:t>
      </w:r>
    </w:p>
    <w:p>
      <w:pPr>
        <w:pStyle w:val="Heading2"/>
      </w:pPr>
      <w:r>
        <w:t>Capital allocation: shareholder friendly, but not a growth signal</w:t>
      </w:r>
    </w:p>
    <w:p>
      <w:pPr>
        <w:spacing w:after="80" w:line="259" w:lineRule="auto"/>
      </w:pPr>
      <w:r>
        <w:t>Sanofi India has returned substantial cash through ordinary and special dividends. CY21 and CY22 dividends of ₹490 and ₹570 per share reflected asset-sale proceeds and should not be annualized. CY25 dividend of ₹123 implies a high but more sustainable payout. Management said in August 2026 that it expected payout not to be lower than the prior year, while emphasizing that the board makes the final decision. This is not formal guidance.</w:t>
      </w:r>
    </w:p>
    <w:p>
      <w:pPr>
        <w:spacing w:after="80" w:line="259" w:lineRule="auto"/>
      </w:pPr>
      <w:r>
        <w:t>The relevant question is not whether dividends are good. They are. The question is whether the company can both pay a high dividend and fund growth. Current capex is modest, the direct field force is focused, and partnerships reduce fixed investment, so the answer can be yes. But a company that continually distributes most earnings cannot create value from reinvestment unless the parent contributes products or the existing insulin platform grows with limited capital.</w:t>
      </w:r>
    </w:p>
    <w:p>
      <w:pPr>
        <w:pStyle w:val="Heading1"/>
        <w:pageBreakBefore/>
      </w:pPr>
      <w:r>
        <w:t>12. Governance, related parties, litigation and disclosure</w:t>
      </w:r>
    </w:p>
    <w:p>
      <w:pPr>
        <w:pStyle w:val="Subtitle"/>
      </w:pPr>
      <w:r>
        <w:t>The balance sheet is clean, but the operating model is deeply dependent on parent entities and a few external partners.</w:t>
      </w:r>
    </w:p>
    <w:p>
      <w:pPr>
        <w:pStyle w:val="Heading2"/>
      </w:pPr>
      <w:r>
        <w:t>Related-party dependence is structural</w:t>
      </w:r>
    </w:p>
    <w:p>
      <w:pPr>
        <w:spacing w:after="80" w:line="259" w:lineRule="auto"/>
      </w:pPr>
      <w:r>
        <w:t>CY25 purchases of raw materials and stock-in-trade from Sanofi group entities were ₹536.8 crore, equal to 29% of revenue. Product sales and other operating income to group entities were ₹254.3 crore, and service sales were ₹86.4 crore. Sanofi-Aventis Singapore alone was a 12.5% revenue customer and a major supplier. These flows are normal for a multinational affiliate, but they make transfer pricing and product allocation central to minority economics.</w:t>
      </w:r>
    </w:p>
    <w:p>
      <w:pPr>
        <w:spacing w:after="80" w:line="259" w:lineRule="auto"/>
      </w:pPr>
      <w:r>
        <w:t>For CY26, shareholders approved or were asked to approve very large transaction ceilings: up to ₹1,385 crore with Sanofi-Aventis Singapore, equal to 75.4% of CY25 revenue, and up to ₹530 crore with SHIPL. The ceilings include gross purchases, sales and services, so they should not be added directly to revenue. Still, their scale shows that SIL cannot be analyzed as a standalone domestic manufacturer.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75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CY25 related-party flow</w:t>
            </w:r>
          </w:p>
        </w:tc>
        <w:tc>
          <w:tcPr>
            <w:tcW w:type="dxa" w:w="172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 crore</w:t>
            </w:r>
          </w:p>
        </w:tc>
        <w:tc>
          <w:tcPr>
            <w:tcW w:type="dxa" w:w="259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Share of CY25 revenue</w:t>
            </w:r>
          </w:p>
        </w:tc>
      </w:tr>
      <w:tr>
        <w:tc>
          <w:tcPr>
            <w:tcW w:type="dxa" w:w="47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Group product sales and operating income</w:t>
            </w:r>
          </w:p>
        </w:tc>
        <w:tc>
          <w:tcPr>
            <w:tcW w:type="dxa" w:w="172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254.3</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13.8%</w:t>
            </w:r>
          </w:p>
        </w:tc>
      </w:tr>
      <w:tr>
        <w:tc>
          <w:tcPr>
            <w:tcW w:type="dxa" w:w="47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Group service sales</w:t>
            </w:r>
          </w:p>
        </w:tc>
        <w:tc>
          <w:tcPr>
            <w:tcW w:type="dxa" w:w="172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86.4</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4.7%</w:t>
            </w:r>
          </w:p>
        </w:tc>
      </w:tr>
      <w:tr>
        <w:tc>
          <w:tcPr>
            <w:tcW w:type="dxa" w:w="475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Group raw-material and stock purchases</w:t>
            </w:r>
          </w:p>
        </w:tc>
        <w:tc>
          <w:tcPr>
            <w:tcW w:type="dxa" w:w="172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536.8</w:t>
            </w:r>
          </w:p>
        </w:tc>
        <w:tc>
          <w:tcPr>
            <w:tcW w:type="dxa" w:w="259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29.2%</w:t>
            </w:r>
          </w:p>
        </w:tc>
      </w:tr>
      <w:tr>
        <w:tc>
          <w:tcPr>
            <w:tcW w:type="dxa" w:w="475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Dividend paid to holding company</w:t>
            </w:r>
          </w:p>
        </w:tc>
        <w:tc>
          <w:tcPr>
            <w:tcW w:type="dxa" w:w="172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267.0</w:t>
            </w:r>
          </w:p>
        </w:tc>
        <w:tc>
          <w:tcPr>
            <w:tcW w:type="dxa" w:w="259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right"/>
            </w:pPr>
            <w:r>
              <w:rPr>
                <w:color w:val="1E2228"/>
                <w:sz w:val="16"/>
              </w:rPr>
              <w:t>14.5%</w:t>
            </w:r>
          </w:p>
        </w:tc>
      </w:tr>
    </w:tbl>
    <w:p>
      <w:pPr>
        <w:spacing w:after="20"/>
      </w:pPr>
    </w:p>
    <w:p>
      <w:pPr>
        <w:pStyle w:val="Heading2"/>
      </w:pPr>
      <w:r>
        <w:t>Litigation and price-control provisions</w:t>
      </w:r>
    </w:p>
    <w:p>
      <w:pPr>
        <w:spacing w:after="80" w:line="259" w:lineRule="auto"/>
      </w:pPr>
      <w:r>
        <w:t>CY25 contingent income-tax demands were ₹318.6 crore: ₹79.7 crore relates to tax-authority appeals against orders favorable to the company, while ₹238.9 crore relates to company appeals or pending filings. This is large relative to CY25 PAT and net worth, although tax disputes are common and the annual report does not characterize a probable outflow.</w:t>
      </w:r>
    </w:p>
    <w:p>
      <w:pPr>
        <w:spacing w:after="80" w:line="259" w:lineRule="auto"/>
      </w:pPr>
      <w:r>
        <w:t>Legacy DPCO disputes also remain. Government demands dating to bulk-drug pricing under the 1979 order included ₹78.1 crore plus interest and a later ₹8.0 crore demand; the matter has been contested for decades. Separately, the NPPA raised overcharging demands that were remanded for reconsideration by the Delhi High Court. SIL retains a ₹16.2 crore provision and believes additional outflow is remote. These are not the core thesis, but they belong in a complete risk-adjusted valuation.</w:t>
      </w:r>
    </w:p>
    <w:p>
      <w:pPr>
        <w:pStyle w:val="Heading2"/>
      </w:pPr>
      <w:r>
        <w:t>Disclosure quality: improving, still below what the model needs</w:t>
      </w:r>
    </w:p>
    <w:p>
      <w:pPr>
        <w:spacing w:after="80" w:line="259" w:lineRule="auto"/>
      </w:pPr>
      <w:r>
        <w:t>The August 2026 call was useful because management disclosed insulin and partnership mix, market share, primary-sales accounting and explicit partner underperformance. That is a meaningful improvement. However, the company still reports only one operating segment, does not disclose product revenue, does not provide partner secondary sales, and gives limited information on Goa utilization or gross margin by engine.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Needed disclosure</w:t>
            </w:r>
          </w:p>
        </w:tc>
        <w:tc>
          <w:tcPr>
            <w:tcW w:type="dxa" w:w="5472"/>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Why it matters</w:t>
            </w:r>
          </w:p>
        </w:tc>
      </w:tr>
      <w:tr>
        <w:tc>
          <w:tcPr>
            <w:tcW w:type="dxa" w:w="38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Insulin revenue by Lantus, Toujeo, Soliqua and Apidra</w:t>
            </w:r>
          </w:p>
        </w:tc>
        <w:tc>
          <w:tcPr>
            <w:tcW w:type="dxa" w:w="54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Separates base-brand defense, premium mix and true innovation.</w:t>
            </w:r>
          </w:p>
        </w:tc>
      </w:tr>
      <w:tr>
        <w:tc>
          <w:tcPr>
            <w:tcW w:type="dxa" w:w="38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Volume, price and channel bridge</w:t>
            </w:r>
          </w:p>
        </w:tc>
        <w:tc>
          <w:tcPr>
            <w:tcW w:type="dxa" w:w="54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Distinguishes NLEM/tender pressure from prescription growth.</w:t>
            </w:r>
          </w:p>
        </w:tc>
      </w:tr>
      <w:tr>
        <w:tc>
          <w:tcPr>
            <w:tcW w:type="dxa" w:w="38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Partner primary, secondary and inventory days</w:t>
            </w:r>
          </w:p>
        </w:tc>
        <w:tc>
          <w:tcPr>
            <w:tcW w:type="dxa" w:w="54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Removes quarterly loading noise and tests partner execution.</w:t>
            </w:r>
          </w:p>
        </w:tc>
      </w:tr>
      <w:tr>
        <w:tc>
          <w:tcPr>
            <w:tcW w:type="dxa" w:w="38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Goa utilization and transfer pipeline</w:t>
            </w:r>
          </w:p>
        </w:tc>
        <w:tc>
          <w:tcPr>
            <w:tcW w:type="dxa" w:w="54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Makes export recovery and operating leverage forecastable.</w:t>
            </w:r>
          </w:p>
        </w:tc>
      </w:tr>
      <w:tr>
        <w:tc>
          <w:tcPr>
            <w:tcW w:type="dxa" w:w="38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Revenue and profit from intercompany services</w:t>
            </w:r>
          </w:p>
        </w:tc>
        <w:tc>
          <w:tcPr>
            <w:tcW w:type="dxa" w:w="5472"/>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Prevents service-income changes being mistaken for core product growth.</w:t>
            </w:r>
          </w:p>
        </w:tc>
      </w:tr>
      <w:tr>
        <w:tc>
          <w:tcPr>
            <w:tcW w:type="dxa" w:w="38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Product allocation policy across SIL and SHIPL</w:t>
            </w:r>
          </w:p>
        </w:tc>
        <w:tc>
          <w:tcPr>
            <w:tcW w:type="dxa" w:w="5472"/>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The single most important governance issue for long-term valuation.</w:t>
            </w:r>
          </w:p>
        </w:tc>
      </w:tr>
    </w:tbl>
    <w:p>
      <w:pPr>
        <w:spacing w:after="20"/>
      </w:pPr>
    </w:p>
    <w:p>
      <w:pPr>
        <w:pStyle w:val="Heading1"/>
        <w:pageBreakBefore/>
      </w:pPr>
      <w:r>
        <w:t>13. Top controversies and falsifiable stock debates</w:t>
      </w:r>
    </w:p>
    <w:p>
      <w:pPr>
        <w:pStyle w:val="Subtitle"/>
      </w:pPr>
      <w:r>
        <w:t>The controversies are mostly about economics and perimeter, not product safety scandals.</w:t>
      </w:r>
    </w:p>
    <w:p>
      <w:pPr>
        <w:pStyle w:val="Heading2"/>
      </w:pPr>
      <w:r>
        <w:t>Controversy 1: Is Sanofi India a global pipeline proxy?</w:t>
      </w:r>
    </w:p>
    <w:p>
      <w:pPr>
        <w:spacing w:after="80" w:line="259" w:lineRule="auto"/>
      </w:pPr>
      <w:r>
        <w:t>Bull argument: Parent control, local manufacturing and a long presence make SIL the natural vehicle for new Sanofi products. Bear argument: The group has deliberately placed specialty care, vaccines and services in other entities. Current management only says it is evaluating diabetes opportunities and devices. Assessment: treat the global pipeline as zero in base valuation. Add optionality only after SIL rights, launch timing and economics are disclosed.</w:t>
      </w:r>
    </w:p>
    <w:p>
      <w:pPr>
        <w:pStyle w:val="Heading2"/>
      </w:pPr>
      <w:r>
        <w:t>Controversy 2: Is outsourcing a superior model or managed decline?</w:t>
      </w:r>
    </w:p>
    <w:p>
      <w:pPr>
        <w:spacing w:after="80" w:line="259" w:lineRule="auto"/>
      </w:pPr>
      <w:r>
        <w:t>Bull argument: Mature brands do not justify a dedicated MNC field force. Partners add reach and convert fixed cost to variable economics. Bear argument: Partners prioritize their own portfolios, primary sales hide weak sell-out, and Sanofi loses direct customer control. Assessment: cost benefits are proven; growth benefits are not. CY27 secondary-sales performance is the falsification point.</w:t>
      </w:r>
    </w:p>
    <w:p>
      <w:pPr>
        <w:pStyle w:val="Heading2"/>
      </w:pPr>
      <w:r>
        <w:t>Controversy 3: Can insulin remain double digit after GLP-1 and Awiqli?</w:t>
      </w:r>
    </w:p>
    <w:p>
      <w:pPr>
        <w:spacing w:after="80" w:line="259" w:lineRule="auto"/>
      </w:pPr>
      <w:r>
        <w:t>Bull argument: India is underdiagnosed, insulin use is low, diabetes progresses, type 1 requires insulin, and analogues are gaining share. Bear argument: modern incretins delay initiation and weekly basal offers a clear convenience advantage. Assessment: both can be true. Monitor new starts, Lantus volume, Toujeo mix and insulin analogue market growth. A sustained fall in new daily-basal starts would weaken the thesis before total sales show it.</w:t>
      </w:r>
    </w:p>
    <w:p>
      <w:pPr>
        <w:pStyle w:val="Heading2"/>
      </w:pPr>
      <w:r>
        <w:t>Controversy 4: Did margins improve structurally?</w:t>
      </w:r>
    </w:p>
    <w:p>
      <w:pPr>
        <w:spacing w:after="80" w:line="259" w:lineRule="auto"/>
      </w:pPr>
      <w:r>
        <w:t>Bull argument: partner-led commercialization has permanently lowered the cost base, creating operating leverage. Bear argument: savings were a one-time response to a shrinking portfolio and may need to be reinvested. Assessment: CY25 proved a structural step-down in expense, but future margin expansion requires gross-profit growth. Stable margin with growth is more valuable than higher margin with falling sales.</w:t>
      </w:r>
    </w:p>
    <w:p>
      <w:pPr>
        <w:pStyle w:val="Heading2"/>
      </w:pPr>
      <w:r>
        <w:t>Controversy 5: Is Goa an asset or a stranded-cost risk?</w:t>
      </w:r>
    </w:p>
    <w:p>
      <w:pPr>
        <w:spacing w:after="80" w:line="259" w:lineRule="auto"/>
      </w:pPr>
      <w:r>
        <w:t>Bull argument: a five-billion-dose, globally accredited site can receive Sanofi transfers and leverage fixed cost. Bear argument: the parent can allocate global volumes elsewhere, and mature exports face price pressure. Assessment: the asset has option value, but capacity is not earnings. Require named products, approvals and utilization.</w:t>
      </w:r>
    </w:p>
    <w:p>
      <w:pPr>
        <w:pStyle w:val="Heading2"/>
      </w:pPr>
      <w:r>
        <w:t>Controversy 6: Is the high dividend a positive signal?</w:t>
      </w:r>
    </w:p>
    <w:p>
      <w:pPr>
        <w:spacing w:after="80" w:line="259" w:lineRule="auto"/>
      </w:pPr>
      <w:r>
        <w:t>Bull argument: the company is cash rich, low capex and shareholder friendly. Bear argument: distributions signal an absence of reinvestment and have reduced net worth. Assessment: the dividend supports downside but cannot justify a premium multiple by itself. A 4% yield plus low-single-digit EPS growth is not equivalent to a growth franchise.</w:t>
      </w:r>
    </w:p>
    <w:p>
      <w:pPr>
        <w:pStyle w:val="Heading2"/>
      </w:pPr>
      <w:r>
        <w:t>Full risk register</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Risk</w:t>
            </w:r>
          </w:p>
        </w:tc>
        <w:tc>
          <w:tcPr>
            <w:tcW w:type="dxa" w:w="1037"/>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Probability</w:t>
            </w:r>
          </w:p>
        </w:tc>
        <w:tc>
          <w:tcPr>
            <w:tcW w:type="dxa" w:w="1037"/>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Impact</w:t>
            </w:r>
          </w:p>
        </w:tc>
        <w:tc>
          <w:tcPr>
            <w:tcW w:type="dxa" w:w="309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Early warning indicator</w:t>
            </w:r>
          </w:p>
        </w:tc>
        <w:tc>
          <w:tcPr>
            <w:tcW w:type="dxa" w:w="208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4"/>
              </w:rPr>
              <w:t>Potential offset</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Lantus price/volume erosion</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Value growth below volume; share loss; NPPA change</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Toujeo mix, public volume, devices</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Awiqli adoption</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Medium-high</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Weekly basal new starts and formulary wins</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Category expansion; daily-profile segmentation</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GLP-1 delays insulin</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Lower basal initiations in private market</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Progression, type 1, Soliqua, access</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Partner underexecution</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Medium-high</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Secondary sales below therapy market; inventory rise</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Dedicated partner teams and steering committees</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Export underutilization</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Medium-high</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Affiliate sales decline, no transfer approvals</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New markets, tenders, CMO insourcing</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Parent product leakage</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 long-term</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SHIPL receives all specialty launches</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Explicit diabetes allocation to SIL</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Price control / tenders</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Net price decline; public mix rise</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Volume expansion and affordability</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Related-party economics</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Low-medium</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Gross margin or service income moves without explanation</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Independent benchmarking and audit oversight</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Tax/DPCO litigation</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Low-medium</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Adverse order or provision increase</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Long history of successful contest/remote assessment</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CFO transition</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Delay in appointment or disclosure deterioration</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Strong board and group finance bench</w:t>
            </w:r>
          </w:p>
        </w:tc>
      </w:tr>
      <w:tr>
        <w:tc>
          <w:tcPr>
            <w:tcW w:type="dxa" w:w="194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Quality/regulatory event at Goa</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Low</w:t>
            </w:r>
          </w:p>
        </w:tc>
        <w:tc>
          <w:tcPr>
            <w:tcW w:type="dxa" w:w="1037"/>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w:t>
            </w:r>
          </w:p>
        </w:tc>
        <w:tc>
          <w:tcPr>
            <w:tcW w:type="dxa" w:w="309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Inspection observations, recalls or supply interruption</w:t>
            </w:r>
          </w:p>
        </w:tc>
        <w:tc>
          <w:tcPr>
            <w:tcW w:type="dxa" w:w="208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Long compliance record and multi-regulator oversight</w:t>
            </w:r>
          </w:p>
        </w:tc>
      </w:tr>
      <w:tr>
        <w:tc>
          <w:tcPr>
            <w:tcW w:type="dxa" w:w="194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Dividend cut</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Low-medium</w:t>
            </w:r>
          </w:p>
        </w:tc>
        <w:tc>
          <w:tcPr>
            <w:tcW w:type="dxa" w:w="1037"/>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Medium</w:t>
            </w:r>
          </w:p>
        </w:tc>
        <w:tc>
          <w:tcPr>
            <w:tcW w:type="dxa" w:w="309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Cash retained without disclosed investment</w:t>
            </w:r>
          </w:p>
        </w:tc>
        <w:tc>
          <w:tcPr>
            <w:tcW w:type="dxa" w:w="208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4"/>
              </w:rPr>
              <w:t>High cash generation and management payout commentary</w:t>
            </w:r>
          </w:p>
        </w:tc>
      </w:tr>
    </w:tbl>
    <w:p>
      <w:pPr>
        <w:spacing w:after="20"/>
      </w:pPr>
    </w:p>
    <w:p>
      <w:pPr>
        <w:pStyle w:val="Heading1"/>
        <w:pageBreakBefore/>
      </w:pPr>
      <w:r>
        <w:t>14. Catalysts, monitoring dashboard and IR questions</w:t>
      </w:r>
    </w:p>
    <w:p>
      <w:pPr>
        <w:pStyle w:val="Subtitle"/>
      </w:pPr>
      <w:r>
        <w:t>The next 12-18 months should resolve whether the restructuring created a growth platform.</w:t>
      </w:r>
    </w:p>
    <w:p>
      <w:pPr>
        <w:pStyle w:val="Heading2"/>
      </w:pPr>
      <w:r>
        <w:t>Potential catalysts</w:t>
      </w:r>
    </w:p>
    <w:p>
      <w:pPr>
        <w:pStyle w:val="ListBullet"/>
        <w:spacing w:after="40"/>
        <w:ind w:left="0"/>
      </w:pPr>
      <w:r>
        <w:rPr>
          <w:b/>
        </w:rPr>
        <w:t xml:space="preserve">Insulin persistence. </w:t>
      </w:r>
      <w:r>
        <w:t>Another two quarters of double-digit growth, especially with Lantus volume and Toujeo/Soliqua mix disclosed.</w:t>
      </w:r>
    </w:p>
    <w:p>
      <w:pPr>
        <w:pStyle w:val="ListBullet"/>
        <w:spacing w:after="40"/>
        <w:ind w:left="0"/>
      </w:pPr>
      <w:r>
        <w:rPr>
          <w:b/>
        </w:rPr>
        <w:t xml:space="preserve">Partner inflection. </w:t>
      </w:r>
      <w:r>
        <w:t>Secondary sales in CV/CNS reach market growth and primary-sales comparisons normalize.</w:t>
      </w:r>
    </w:p>
    <w:p>
      <w:pPr>
        <w:pStyle w:val="ListBullet"/>
        <w:spacing w:after="40"/>
        <w:ind w:left="0"/>
      </w:pPr>
      <w:r>
        <w:rPr>
          <w:b/>
        </w:rPr>
        <w:t xml:space="preserve">Goa wins. </w:t>
      </w:r>
      <w:r>
        <w:t>Named product transfer, South Africa tender, or CMO insourcing with quantified annual revenue.</w:t>
      </w:r>
    </w:p>
    <w:p>
      <w:pPr>
        <w:pStyle w:val="ListBullet"/>
        <w:spacing w:after="40"/>
        <w:ind w:left="0"/>
      </w:pPr>
      <w:r>
        <w:rPr>
          <w:b/>
        </w:rPr>
        <w:t xml:space="preserve">New listedco product. </w:t>
      </w:r>
      <w:r>
        <w:t>A diabetes pipeline asset, device or digital solution assigned to SIL.</w:t>
      </w:r>
    </w:p>
    <w:p>
      <w:pPr>
        <w:pStyle w:val="ListBullet"/>
        <w:spacing w:after="40"/>
        <w:ind w:left="0"/>
      </w:pPr>
      <w:r>
        <w:rPr>
          <w:b/>
        </w:rPr>
        <w:t xml:space="preserve">CFO appointment. </w:t>
      </w:r>
      <w:r>
        <w:t>A credible successor with stronger investor disclosure and operating-finance experience.</w:t>
      </w:r>
    </w:p>
    <w:p>
      <w:pPr>
        <w:pStyle w:val="ListBullet"/>
        <w:spacing w:after="40"/>
        <w:ind w:left="0"/>
      </w:pPr>
      <w:r>
        <w:rPr>
          <w:b/>
        </w:rPr>
        <w:t xml:space="preserve">Dividend confirmation. </w:t>
      </w:r>
      <w:r>
        <w:t>CY26 payout at or above CY25 while retaining enough cash for growth.</w:t>
      </w:r>
    </w:p>
    <w:p>
      <w:pPr>
        <w:pStyle w:val="ListBullet"/>
        <w:spacing w:after="40"/>
        <w:ind w:left="0"/>
      </w:pPr>
      <w:r>
        <w:rPr>
          <w:b/>
        </w:rPr>
        <w:t xml:space="preserve">Better segment disclosure. </w:t>
      </w:r>
      <w:r>
        <w:t>Product or engine-level revenue and margin data that lowers the forecast discount.</w:t>
      </w:r>
    </w:p>
    <w:p>
      <w:pPr>
        <w:pStyle w:val="Heading2"/>
      </w:pPr>
      <w:r>
        <w:t>Quarterly monitoring dashboard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16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Metric</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Green</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Amber</w:t>
            </w:r>
          </w:p>
        </w:tc>
        <w:tc>
          <w:tcPr>
            <w:tcW w:type="dxa" w:w="2376"/>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5"/>
              </w:rPr>
              <w:t>Red</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Insulin growth</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&gt;10%</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6-10%</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&lt;6%</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Lantus volume</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&gt;5%</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0-5%</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Negative</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Partnership secondary growth</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At/above therapy market</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Within 300bp</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&gt;300bp below market</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Partnership inventory</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Stable/falling</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One-quarter build</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Repeated build/returns</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Export growth</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Positive with named wins</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Flat</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Continued decline</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PBT pre-ex margin</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27-29% with growth</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25-27%</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&lt;25% or cost-led only</w:t>
            </w:r>
          </w:p>
        </w:tc>
      </w:tr>
      <w:tr>
        <w:tc>
          <w:tcPr>
            <w:tcW w:type="dxa" w:w="216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Cash conversion</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CFO/PAT &gt;1x, normal WC</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0.8-1.0x</w:t>
            </w:r>
          </w:p>
        </w:tc>
        <w:tc>
          <w:tcPr>
            <w:tcW w:type="dxa" w:w="2376"/>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&lt;0.8x</w:t>
            </w:r>
          </w:p>
        </w:tc>
      </w:tr>
      <w:tr>
        <w:tc>
          <w:tcPr>
            <w:tcW w:type="dxa" w:w="216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Entity optionality</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Named SIL allocation</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Business case underway</w:t>
            </w:r>
          </w:p>
        </w:tc>
        <w:tc>
          <w:tcPr>
            <w:tcW w:type="dxa" w:w="2376"/>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5"/>
              </w:rPr>
              <w:t>Launch assigned elsewhere</w:t>
            </w:r>
          </w:p>
        </w:tc>
      </w:tr>
    </w:tbl>
    <w:p>
      <w:pPr>
        <w:spacing w:after="20"/>
      </w:pPr>
    </w:p>
    <w:p>
      <w:pPr>
        <w:pStyle w:val="Heading2"/>
      </w:pPr>
      <w:r>
        <w:t>Thirty questions for management and industry work</w:t>
      </w:r>
    </w:p>
    <w:p>
      <w:pPr>
        <w:pStyle w:val="ListNumber"/>
        <w:spacing w:after="40"/>
      </w:pPr>
      <w:r>
        <w:t>What were Lantus, Toujeo, Soliqua and Apidra sales, volume and net-price growth in the latest quarter?</w:t>
      </w:r>
    </w:p>
    <w:p>
      <w:pPr>
        <w:pStyle w:val="ListNumber"/>
        <w:spacing w:after="40"/>
      </w:pPr>
      <w:r>
        <w:t>What percentage of insulin sales now comes from public institutions, and how does gross margin compare with private trade?</w:t>
      </w:r>
    </w:p>
    <w:p>
      <w:pPr>
        <w:pStyle w:val="ListNumber"/>
        <w:spacing w:after="40"/>
      </w:pPr>
      <w:r>
        <w:t>How much of Toujeo growth is conversion from Lantus versus new-to-insulin initiation?</w:t>
      </w:r>
    </w:p>
    <w:p>
      <w:pPr>
        <w:pStyle w:val="ListNumber"/>
        <w:spacing w:after="40"/>
      </w:pPr>
      <w:r>
        <w:t>How many active Soliqua patients are on therapy, and what are six- and twelve-month persistence rates?</w:t>
      </w:r>
    </w:p>
    <w:p>
      <w:pPr>
        <w:pStyle w:val="ListNumber"/>
        <w:spacing w:after="40"/>
      </w:pPr>
      <w:r>
        <w:t>Does Soliqua cannibalize Lantus, or expand franchise value per patient after oral-drug failure?</w:t>
      </w:r>
    </w:p>
    <w:p>
      <w:pPr>
        <w:pStyle w:val="ListNumber"/>
        <w:spacing w:after="40"/>
      </w:pPr>
      <w:r>
        <w:t>What fraction of the basal market is addressable by Awiqli, and what leading indicator would change management’s view?</w:t>
      </w:r>
    </w:p>
    <w:p>
      <w:pPr>
        <w:pStyle w:val="ListNumber"/>
        <w:spacing w:after="40"/>
      </w:pPr>
      <w:r>
        <w:t>How has generic semaglutide affected basal-insulin initiation in metro private practice?</w:t>
      </w:r>
    </w:p>
    <w:p>
      <w:pPr>
        <w:pStyle w:val="ListNumber"/>
        <w:spacing w:after="40"/>
      </w:pPr>
      <w:r>
        <w:t>What are insulin analogue market volume and value growth after the Awiqli launch?</w:t>
      </w:r>
    </w:p>
    <w:p>
      <w:pPr>
        <w:pStyle w:val="ListNumber"/>
        <w:spacing w:after="40"/>
      </w:pPr>
      <w:r>
        <w:t>What were Emcure and Cipla secondary-sales growth rates versus SIL primary sales?</w:t>
      </w:r>
    </w:p>
    <w:p>
      <w:pPr>
        <w:pStyle w:val="ListNumber"/>
        <w:spacing w:after="40"/>
      </w:pPr>
      <w:r>
        <w:t>What is current partner inventory in weeks, by CV, CNS and oral diabetes?</w:t>
      </w:r>
    </w:p>
    <w:p>
      <w:pPr>
        <w:pStyle w:val="ListNumber"/>
        <w:spacing w:after="40"/>
      </w:pPr>
      <w:r>
        <w:t>What return rights or stock-protection terms remain in partner contracts?</w:t>
      </w:r>
    </w:p>
    <w:p>
      <w:pPr>
        <w:pStyle w:val="ListNumber"/>
        <w:spacing w:after="40"/>
      </w:pPr>
      <w:r>
        <w:t>Are partner economics based on a discount, fee, commission or transfer-price formula?</w:t>
      </w:r>
    </w:p>
    <w:p>
      <w:pPr>
        <w:pStyle w:val="ListNumber"/>
        <w:spacing w:after="40"/>
      </w:pPr>
      <w:r>
        <w:t>What are the initial and renewal terms of the Cipla CNS and Emcure oral-diabetes agreements?</w:t>
      </w:r>
    </w:p>
    <w:p>
      <w:pPr>
        <w:pStyle w:val="ListNumber"/>
        <w:spacing w:after="40"/>
      </w:pPr>
      <w:r>
        <w:t>Which partnership brands are below market and why?</w:t>
      </w:r>
    </w:p>
    <w:p>
      <w:pPr>
        <w:pStyle w:val="ListNumber"/>
        <w:spacing w:after="40"/>
      </w:pPr>
      <w:r>
        <w:t>What specific actions support the expectation of market growth by CY27?</w:t>
      </w:r>
    </w:p>
    <w:p>
      <w:pPr>
        <w:pStyle w:val="ListNumber"/>
        <w:spacing w:after="40"/>
      </w:pPr>
      <w:r>
        <w:t>What is Goa capacity utilization by production line and export/domestic split?</w:t>
      </w:r>
    </w:p>
    <w:p>
      <w:pPr>
        <w:pStyle w:val="ListNumber"/>
        <w:spacing w:after="40"/>
      </w:pPr>
      <w:r>
        <w:t>Which product has already been transferred to Goa, and what is its annual revenue potential?</w:t>
      </w:r>
    </w:p>
    <w:p>
      <w:pPr>
        <w:pStyle w:val="ListNumber"/>
        <w:spacing w:after="40"/>
      </w:pPr>
      <w:r>
        <w:t>What products may be insourced from CMOs and on what timeline?</w:t>
      </w:r>
    </w:p>
    <w:p>
      <w:pPr>
        <w:pStyle w:val="ListNumber"/>
        <w:spacing w:after="40"/>
      </w:pPr>
      <w:r>
        <w:t>What is the margin of Australian exports versus new-market tenders?</w:t>
      </w:r>
    </w:p>
    <w:p>
      <w:pPr>
        <w:pStyle w:val="ListNumber"/>
        <w:spacing w:after="40"/>
      </w:pPr>
      <w:r>
        <w:t>How much export revenue is committed versus tender-dependent?</w:t>
      </w:r>
    </w:p>
    <w:p>
      <w:pPr>
        <w:pStyle w:val="ListNumber"/>
        <w:spacing w:after="40"/>
      </w:pPr>
      <w:r>
        <w:t>Which Sanofi diabetes pipeline assets are being evaluated for SIL?</w:t>
      </w:r>
    </w:p>
    <w:p>
      <w:pPr>
        <w:pStyle w:val="ListNumber"/>
        <w:spacing w:after="40"/>
      </w:pPr>
      <w:r>
        <w:t>Who decides allocation between SIL and SHIPL, and what criteria are used?</w:t>
      </w:r>
    </w:p>
    <w:p>
      <w:pPr>
        <w:pStyle w:val="ListNumber"/>
        <w:spacing w:after="40"/>
      </w:pPr>
      <w:r>
        <w:t>Could SIL receive specialty products under a distribution or service model even if ownership remains with SHIPL?</w:t>
      </w:r>
    </w:p>
    <w:p>
      <w:pPr>
        <w:pStyle w:val="ListNumber"/>
        <w:spacing w:after="40"/>
      </w:pPr>
      <w:r>
        <w:t>How much of other operating income will disappear as demerger transition services end?</w:t>
      </w:r>
    </w:p>
    <w:p>
      <w:pPr>
        <w:pStyle w:val="ListNumber"/>
        <w:spacing w:after="40"/>
      </w:pPr>
      <w:r>
        <w:t>What is the normalized direct opex base after all restructuring?</w:t>
      </w:r>
    </w:p>
    <w:p>
      <w:pPr>
        <w:pStyle w:val="ListNumber"/>
        <w:spacing w:after="40"/>
      </w:pPr>
      <w:r>
        <w:t>How much commercial reinvestment is required to sustain double-digit insulin growth?</w:t>
      </w:r>
    </w:p>
    <w:p>
      <w:pPr>
        <w:pStyle w:val="ListNumber"/>
        <w:spacing w:after="40"/>
      </w:pPr>
      <w:r>
        <w:t>What cash balance does the board consider necessary for operations and contingencies?</w:t>
      </w:r>
    </w:p>
    <w:p>
      <w:pPr>
        <w:pStyle w:val="ListNumber"/>
        <w:spacing w:after="40"/>
      </w:pPr>
      <w:r>
        <w:t>What is the expected long-term payout policy after the demerger?</w:t>
      </w:r>
    </w:p>
    <w:p>
      <w:pPr>
        <w:pStyle w:val="ListNumber"/>
        <w:spacing w:after="40"/>
      </w:pPr>
      <w:r>
        <w:t>What is management’s probability-weighted assessment of the ₹318.6 crore tax contingencies?</w:t>
      </w:r>
    </w:p>
    <w:p>
      <w:pPr>
        <w:pStyle w:val="ListNumber"/>
        <w:spacing w:after="40"/>
      </w:pPr>
      <w:r>
        <w:t>What disclosure improvements will accompany the incoming CFO transition?</w:t>
      </w:r>
    </w:p>
    <w:p>
      <w:pPr>
        <w:pStyle w:val="Heading1"/>
        <w:pageBreakBefore/>
      </w:pPr>
      <w:r>
        <w:t>15. Final framework: what would make the stock work?</w:t>
      </w:r>
    </w:p>
    <w:p>
      <w:pPr>
        <w:pStyle w:val="Subtitle"/>
      </w:pPr>
      <w:r>
        <w:t>Sanofi India is a good company with a narrower set of valuable rights than the country brand implies.</w:t>
      </w:r>
    </w:p>
    <w:p>
      <w:pPr>
        <w:pStyle w:val="Heading2"/>
      </w:pPr>
      <w:r>
        <w:t>The positive case</w:t>
      </w:r>
    </w:p>
    <w:p>
      <w:pPr>
        <w:spacing w:after="80" w:line="259" w:lineRule="auto"/>
      </w:pPr>
      <w:r>
        <w:t>The insulin franchise is strong enough to matter. Market share is high, brand equity is deep, the portfolio spans basal, prandial and fixed-ratio therapy, and public access is expanding. The new operating model has removed cost and sharpened focus. The balance sheet is debt free, cash generation is high and dividends provide carry. At roughly 22x LTM earnings, the stock is not priced like the fastest-growing MNC peers.</w:t>
      </w:r>
    </w:p>
    <w:p>
      <w:pPr>
        <w:pStyle w:val="Heading2"/>
      </w:pPr>
      <w:r>
        <w:t>The constraint</w:t>
      </w:r>
    </w:p>
    <w:p>
      <w:pPr>
        <w:spacing w:after="80" w:line="259" w:lineRule="auto"/>
      </w:pPr>
      <w:r>
        <w:t>A stock cannot compound on franchise quality alone if its revenue base does not grow. Partnership brands are below market, export replacement is early, and most global innovation lies outside the listed perimeter. CY25 earnings resilience was an opex achievement more than a demand achievement. The company now needs to demonstrate that the smaller platform can grow.</w:t>
      </w:r>
    </w:p>
    <w:p>
      <w:pPr>
        <w:pStyle w:val="Heading2"/>
      </w:pPr>
      <w:r>
        <w:t>The appropriate analytical posture</w:t>
      </w:r>
    </w:p>
    <w:p>
      <w:pPr>
        <w:spacing w:after="80" w:line="259" w:lineRule="auto"/>
      </w:pPr>
      <w:r>
        <w:t>Start neutral on valuation and demanding on evidence. Give full credit to the cash-generative insulin franchise and current earnings. Give partial credit to partnership normalization only after secondary sales improve. Give no base-case credit to global specialty or vaccine products without an SIL contract. Treat Goa transfers as upside optionality until named. Treat the dividend as downside support, not a growth engine.</w:t>
      </w:r>
    </w:p>
    <w:tbl>
      <w:tblPr>
        <w:tblW w:type="auto" w:w="0"/>
        <w:jc w:val="center"/>
        <w:tblLayout w:type="fixed"/>
        <w:tblLook w:firstColumn="1" w:firstRow="1" w:lastColumn="0" w:lastRow="0" w:noHBand="0" w:noVBand="1" w:val="04A0"/>
      </w:tblPr>
      <w:tblGrid>
        <w:gridCol w:w="10166"/>
      </w:tblGrid>
      <w:tr>
        <w:tc>
          <w:tcPr>
            <w:tcW w:type="dxa" w:w="9576"/>
            <w:shd w:fill="F7F4FA"/>
            <w:tcBorders>
              <w:top w:val="single" w:sz="10" w:space="0" w:color="5B2C83"/>
              <w:left w:val="single" w:sz="10" w:space="0" w:color="5B2C83"/>
              <w:bottom w:val="single" w:sz="10" w:space="0" w:color="5B2C83"/>
              <w:right w:val="single" w:sz="10" w:space="0" w:color="5B2C83"/>
              <w:insideH w:val="single" w:sz="10" w:space="0" w:color="5B2C83"/>
              <w:insideV w:val="single" w:sz="10" w:space="0" w:color="5B2C83"/>
            </w:tcBorders>
            <w:tcMar>
              <w:top w:w="110" w:type="dxa"/>
              <w:start w:w="150" w:type="dxa"/>
              <w:bottom w:w="110" w:type="dxa"/>
              <w:end w:w="150" w:type="dxa"/>
            </w:tcMar>
          </w:tcPr>
          <w:p>
            <w:pPr>
              <w:spacing w:after="60"/>
            </w:pPr>
            <w:r>
              <w:rPr>
                <w:b/>
                <w:color w:val="5B2C83"/>
                <w:sz w:val="20"/>
              </w:rPr>
              <w:t>One-sentence investment conclusion</w:t>
            </w:r>
          </w:p>
          <w:p>
            <w:pPr>
              <w:spacing w:after="0" w:line="252" w:lineRule="auto"/>
            </w:pPr>
            <w:r>
              <w:rPr>
                <w:color w:val="1C1C1C"/>
                <w:sz w:val="18"/>
              </w:rPr>
              <w:t>Sanofi India becomes compelling when insulin proves durable enough to carry the company, partner brands stop leaking growth, and the parent contributes one explicit new asset to the listed vehicle; until then, the stock is a quality cash generator with a credible but incomplete rerating case.</w:t>
            </w:r>
          </w:p>
        </w:tc>
      </w:tr>
    </w:tbl>
    <w:p>
      <w:pPr>
        <w:spacing w:after="20"/>
      </w:pPr>
    </w:p>
    <w:p>
      <w:pPr>
        <w:pStyle w:val="Heading2"/>
      </w:pPr>
      <w:r>
        <w:t>Why this is a useful stock to study professionally</w:t>
      </w:r>
    </w:p>
    <w:p>
      <w:pPr>
        <w:spacing w:after="80" w:line="259" w:lineRule="auto"/>
      </w:pPr>
      <w:r>
        <w:t>Sanofi India is an unusually rich training ground for healthcare research. It forces the analyst to separate molecule value from brand value, listedco rights from parent headlines, primary sales from patient demand, price control from access growth, structural cost reduction from sustainable margins, and high ROCE from reinvestment opportunity. A correct note on this company requires legal-entity diligence, diabetes science, channel work, manufacturing economics, accounting normalization and minority-governance analysis. Those skills transfer directly to the rest of Indian MNC pharma.</w:t>
      </w:r>
    </w:p>
    <w:p>
      <w:pPr>
        <w:pStyle w:val="Heading1"/>
        <w:pageBreakBefore/>
      </w:pPr>
      <w:r>
        <w:t>Appendix A. Calculation notes and analytical definitions</w:t>
      </w:r>
    </w:p>
    <w:p>
      <w:pPr>
        <w:pStyle w:val="Heading2"/>
      </w:pPr>
      <w:r>
        <w:t>Key calculations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Item</w:t>
            </w:r>
          </w:p>
        </w:tc>
        <w:tc>
          <w:tcPr>
            <w:tcW w:type="dxa" w:w="6840"/>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Method</w:t>
            </w:r>
          </w:p>
        </w:tc>
      </w:tr>
      <w:tr>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PAT to June 2026</w:t>
            </w:r>
          </w:p>
        </w:tc>
        <w:tc>
          <w:tcPr>
            <w:tcW w:type="dxa" w:w="68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PAT ₹326.7cr - H1 CY25 PAT ₹189.0cr + H1 CY26 PAT ₹186.1cr = ₹323.8cr.</w:t>
            </w:r>
          </w:p>
        </w:tc>
      </w:tr>
      <w:tr>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 EPS</w:t>
            </w:r>
          </w:p>
        </w:tc>
        <w:tc>
          <w:tcPr>
            <w:tcW w:type="dxa" w:w="68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₹323.8cr divided by 23.03m shares = about ₹140.6.</w:t>
            </w:r>
          </w:p>
        </w:tc>
      </w:tr>
      <w:tr>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Market capitalization</w:t>
            </w:r>
          </w:p>
        </w:tc>
        <w:tc>
          <w:tcPr>
            <w:tcW w:type="dxa" w:w="68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About ₹3,131 per share multiplied by 23.03m shares = about ₹7,211cr.</w:t>
            </w:r>
          </w:p>
        </w:tc>
      </w:tr>
      <w:tr>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gross profit</w:t>
            </w:r>
          </w:p>
        </w:tc>
        <w:tc>
          <w:tcPr>
            <w:tcW w:type="dxa" w:w="68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Revenue ₹1,837.4cr less materials ₹246.4cr, purchases ₹514.0cr and inventory change ₹136.8cr = ₹940.2cr.</w:t>
            </w:r>
          </w:p>
        </w:tc>
      </w:tr>
      <w:tr>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CY25 free cash flow</w:t>
            </w:r>
          </w:p>
        </w:tc>
        <w:tc>
          <w:tcPr>
            <w:tcW w:type="dxa" w:w="68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Operating cash flow ₹438.3cr less capex/intangibles ₹25.7cr = about ₹412.6cr.</w:t>
            </w:r>
          </w:p>
        </w:tc>
      </w:tr>
      <w:tr>
        <w:tc>
          <w:tcPr>
            <w:tcW w:type="dxa" w:w="2448"/>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Q2 product mix</w:t>
            </w:r>
          </w:p>
        </w:tc>
        <w:tc>
          <w:tcPr>
            <w:tcW w:type="dxa" w:w="6840"/>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Domestic insulin ₹203.1cr + partnerships ₹145.7cr + other ₹7.1cr + exports ₹60.3cr = ₹416.2cr product net sales.</w:t>
            </w:r>
          </w:p>
        </w:tc>
      </w:tr>
      <w:tr>
        <w:tc>
          <w:tcPr>
            <w:tcW w:type="dxa" w:w="2448"/>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Peer P/E</w:t>
            </w:r>
          </w:p>
        </w:tc>
        <w:tc>
          <w:tcPr>
            <w:tcW w:type="dxa" w:w="6840"/>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Point-in-time public market data from 11-16 September 2026; not standardized for reporting period or cash.</w:t>
            </w:r>
          </w:p>
        </w:tc>
      </w:tr>
    </w:tbl>
    <w:p>
      <w:pPr>
        <w:spacing w:after="20"/>
      </w:pPr>
    </w:p>
    <w:p>
      <w:pPr>
        <w:pStyle w:val="Heading2"/>
      </w:pPr>
      <w:r>
        <w:t>Terminology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Term</w:t>
            </w:r>
          </w:p>
        </w:tc>
        <w:tc>
          <w:tcPr>
            <w:tcW w:type="dxa" w:w="6984"/>
            <w:shd w:fill="26364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70" w:type="dxa"/>
              <w:start w:w="90" w:type="dxa"/>
              <w:bottom w:w="70" w:type="dxa"/>
              <w:end w:w="90" w:type="dxa"/>
            </w:tcMar>
            <w:vAlign w:val="center"/>
          </w:tcPr>
          <w:p>
            <w:pPr>
              <w:spacing w:after="0"/>
              <w:jc w:val="center"/>
            </w:pPr>
            <w:r>
              <w:rPr>
                <w:b/>
                <w:color w:val="FFFFFF"/>
                <w:sz w:val="16"/>
              </w:rPr>
              <w:t>Meaning</w:t>
            </w:r>
          </w:p>
        </w:tc>
      </w:tr>
      <w:tr>
        <w:tc>
          <w:tcPr>
            <w:tcW w:type="dxa" w:w="230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Basal insulin</w:t>
            </w:r>
          </w:p>
        </w:tc>
        <w:tc>
          <w:tcPr>
            <w:tcW w:type="dxa" w:w="69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Long-acting background insulin controlling fasting and between-meal glucose.</w:t>
            </w:r>
          </w:p>
        </w:tc>
      </w:tr>
      <w:tr>
        <w:tc>
          <w:tcPr>
            <w:tcW w:type="dxa" w:w="230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Bolus / prandial insulin</w:t>
            </w:r>
          </w:p>
        </w:tc>
        <w:tc>
          <w:tcPr>
            <w:tcW w:type="dxa" w:w="69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Rapid-acting insulin used around meals.</w:t>
            </w:r>
          </w:p>
        </w:tc>
      </w:tr>
      <w:tr>
        <w:tc>
          <w:tcPr>
            <w:tcW w:type="dxa" w:w="230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GLP-1 RA</w:t>
            </w:r>
          </w:p>
        </w:tc>
        <w:tc>
          <w:tcPr>
            <w:tcW w:type="dxa" w:w="69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Glucagon-like peptide-1 receptor agonist, an incretin-based therapy that improves glucose control and may reduce weight.</w:t>
            </w:r>
          </w:p>
        </w:tc>
      </w:tr>
      <w:tr>
        <w:tc>
          <w:tcPr>
            <w:tcW w:type="dxa" w:w="230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Analogue insulin</w:t>
            </w:r>
          </w:p>
        </w:tc>
        <w:tc>
          <w:tcPr>
            <w:tcW w:type="dxa" w:w="69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Engineered insulin with altered absorption or duration versus human insulin.</w:t>
            </w:r>
          </w:p>
        </w:tc>
      </w:tr>
      <w:tr>
        <w:tc>
          <w:tcPr>
            <w:tcW w:type="dxa" w:w="230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Primary sales</w:t>
            </w:r>
          </w:p>
        </w:tc>
        <w:tc>
          <w:tcPr>
            <w:tcW w:type="dxa" w:w="69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Manufacturer sales to a distributor or partner.</w:t>
            </w:r>
          </w:p>
        </w:tc>
      </w:tr>
      <w:tr>
        <w:tc>
          <w:tcPr>
            <w:tcW w:type="dxa" w:w="230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Secondary sales</w:t>
            </w:r>
          </w:p>
        </w:tc>
        <w:tc>
          <w:tcPr>
            <w:tcW w:type="dxa" w:w="69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Partner/distributor sales onward to the market.</w:t>
            </w:r>
          </w:p>
        </w:tc>
      </w:tr>
      <w:tr>
        <w:tc>
          <w:tcPr>
            <w:tcW w:type="dxa" w:w="230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NLEM / DPCO</w:t>
            </w:r>
          </w:p>
        </w:tc>
        <w:tc>
          <w:tcPr>
            <w:tcW w:type="dxa" w:w="69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India’s essential-medicines list and drug-price-control framework.</w:t>
            </w:r>
          </w:p>
        </w:tc>
      </w:tr>
      <w:tr>
        <w:tc>
          <w:tcPr>
            <w:tcW w:type="dxa" w:w="230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RPT</w:t>
            </w:r>
          </w:p>
        </w:tc>
        <w:tc>
          <w:tcPr>
            <w:tcW w:type="dxa" w:w="69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Related-party transaction with a group entity or other related party.</w:t>
            </w:r>
          </w:p>
        </w:tc>
      </w:tr>
      <w:tr>
        <w:tc>
          <w:tcPr>
            <w:tcW w:type="dxa" w:w="230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PBT before exceptional items</w:t>
            </w:r>
          </w:p>
        </w:tc>
        <w:tc>
          <w:tcPr>
            <w:tcW w:type="dxa" w:w="6984"/>
            <w:shd w:fill="FFFFFF"/>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Profit before tax excluding separately disclosed restructuring or one-off items.</w:t>
            </w:r>
          </w:p>
        </w:tc>
      </w:tr>
      <w:tr>
        <w:tc>
          <w:tcPr>
            <w:tcW w:type="dxa" w:w="230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LTM</w:t>
            </w:r>
          </w:p>
        </w:tc>
        <w:tc>
          <w:tcPr>
            <w:tcW w:type="dxa" w:w="6984"/>
            <w:shd w:fill="F5F6F8"/>
            <w:tcBorders>
              <w:top w:val="single" w:sz="4" w:space="0" w:color="D9DDE3"/>
              <w:left w:val="single" w:sz="4" w:space="0" w:color="D9DDE3"/>
              <w:bottom w:val="single" w:sz="4" w:space="0" w:color="D9DDE3"/>
              <w:right w:val="single" w:sz="4" w:space="0" w:color="D9DDE3"/>
              <w:insideH w:val="single" w:sz="4" w:space="0" w:color="D9DDE3"/>
              <w:insideV w:val="single" w:sz="4" w:space="0" w:color="D9DDE3"/>
            </w:tcBorders>
            <w:tcMar>
              <w:top w:w="70" w:type="dxa"/>
              <w:start w:w="90" w:type="dxa"/>
              <w:bottom w:w="70" w:type="dxa"/>
              <w:end w:w="90" w:type="dxa"/>
            </w:tcMar>
            <w:vAlign w:val="top"/>
          </w:tcPr>
          <w:p>
            <w:pPr>
              <w:spacing w:after="0"/>
              <w:jc w:val="left"/>
            </w:pPr>
            <w:r>
              <w:rPr>
                <w:color w:val="1E2228"/>
                <w:sz w:val="16"/>
              </w:rPr>
              <w:t>Last twelve months.</w:t>
            </w:r>
          </w:p>
        </w:tc>
      </w:tr>
    </w:tbl>
    <w:p>
      <w:pPr>
        <w:spacing w:after="20"/>
      </w:pPr>
    </w:p>
    <w:p>
      <w:pPr>
        <w:pStyle w:val="Heading1"/>
        <w:pageBreakBefore/>
      </w:pPr>
      <w:r>
        <w:t>Appendix B. Primary sources and selected market references</w:t>
      </w:r>
    </w:p>
    <w:p>
      <w:pPr>
        <w:spacing w:after="80" w:line="259" w:lineRule="auto"/>
      </w:pPr>
      <w:r>
        <w:t>The primer prioritizes company filings, official regulatory or scientific sources, and primary reporting. Market prices and peer multiples are point-in-time observations. Accessed 16 September 2026 unless otherwise stated.</w:t>
      </w:r>
    </w:p>
    <w:p>
      <w:pPr>
        <w:spacing w:after="40"/>
      </w:pPr>
      <w:r>
        <w:rPr>
          <w:sz w:val="17"/>
        </w:rPr>
        <w:t xml:space="preserve">[1] Sanofi India investor portal. </w:t>
      </w:r>
      <w:hyperlink r:id="rId13">
        <w:r>
          <w:rPr>
            <w:color w:val="5B2C83"/>
            <w:u w:val="single"/>
          </w:rPr>
          <w:t>https://www.sanofi.com/en/india/investors</w:t>
        </w:r>
      </w:hyperlink>
      <w:r>
        <w:rPr>
          <w:sz w:val="17"/>
        </w:rPr>
        <w:t xml:space="preserve"> Ownership, company history and investor disclosures.</w:t>
      </w:r>
    </w:p>
    <w:p>
      <w:pPr>
        <w:spacing w:after="40"/>
      </w:pPr>
      <w:r>
        <w:rPr>
          <w:sz w:val="17"/>
        </w:rPr>
        <w:t xml:space="preserve">[2] Sanofi India Integrated Annual Report 2025. </w:t>
      </w:r>
      <w:hyperlink r:id="rId14">
        <w:r>
          <w:rPr>
            <w:color w:val="5B2C83"/>
            <w:u w:val="single"/>
          </w:rPr>
          <w:t>https://www.sanofi.com/assets/countries/india/docs/Investors/annual-reports/2005/Annual-Report-2025.pdf</w:t>
        </w:r>
      </w:hyperlink>
      <w:r>
        <w:rPr>
          <w:sz w:val="17"/>
        </w:rPr>
        <w:t xml:space="preserve"> Financial statements, portfolio, related parties, contingencies and manufacturing.</w:t>
      </w:r>
    </w:p>
    <w:p>
      <w:pPr>
        <w:spacing w:after="40"/>
      </w:pPr>
      <w:r>
        <w:rPr>
          <w:sz w:val="17"/>
        </w:rPr>
        <w:t xml:space="preserve">[3] Sanofi India Q2 CY26 investor presentation. </w:t>
      </w:r>
      <w:hyperlink r:id="rId15">
        <w:r>
          <w:rPr>
            <w:color w:val="5B2C83"/>
            <w:u w:val="single"/>
          </w:rPr>
          <w:t>https://www.sanofi.com/assets/countries/india/docs/Investors/investor-information/analyst-investor-meet/2026/Investor-call-Presentation.pdf</w:t>
        </w:r>
      </w:hyperlink>
      <w:r>
        <w:rPr>
          <w:sz w:val="17"/>
        </w:rPr>
        <w:t xml:space="preserve"> Domestic mix, market share, financial bridge and strategy.</w:t>
      </w:r>
    </w:p>
    <w:p>
      <w:pPr>
        <w:spacing w:after="40"/>
      </w:pPr>
      <w:r>
        <w:rPr>
          <w:sz w:val="17"/>
        </w:rPr>
        <w:t xml:space="preserve">[4] Sanofi India Q2 CY26 call transcript. </w:t>
      </w:r>
      <w:hyperlink r:id="rId16">
        <w:r>
          <w:rPr>
            <w:color w:val="5B2C83"/>
            <w:u w:val="single"/>
          </w:rPr>
          <w:t>https://www.sanofi.com/assets/countries/india/docs/Investors/investor-information/analyst-investor-meet/2026/Investor-Call---transcript.pdf</w:t>
        </w:r>
      </w:hyperlink>
      <w:r>
        <w:rPr>
          <w:sz w:val="17"/>
        </w:rPr>
        <w:t xml:space="preserve"> Partnership accounting, pipeline, Awiqli, export and dividend commentary.</w:t>
      </w:r>
    </w:p>
    <w:p>
      <w:pPr>
        <w:spacing w:after="40"/>
      </w:pPr>
      <w:r>
        <w:rPr>
          <w:sz w:val="17"/>
        </w:rPr>
        <w:t xml:space="preserve">[5] Sanofi India H1 CY26 financial results. </w:t>
      </w:r>
      <w:hyperlink r:id="rId17">
        <w:r>
          <w:rPr>
            <w:color w:val="5B2C83"/>
            <w:u w:val="single"/>
          </w:rPr>
          <w:t>https://www.sanofi.com/assets/countries/india/docs/Investors/financial-results/2026/Unaudited-Financial-Results-for-the-quarter-and-half-year-ended-30th-June-2026.pdf</w:t>
        </w:r>
      </w:hyperlink>
      <w:r>
        <w:rPr>
          <w:sz w:val="17"/>
        </w:rPr>
        <w:t xml:space="preserve"> Reported H1 income statement and balance sheet.</w:t>
      </w:r>
    </w:p>
    <w:p>
      <w:pPr>
        <w:spacing w:after="40"/>
      </w:pPr>
      <w:r>
        <w:rPr>
          <w:sz w:val="17"/>
        </w:rPr>
        <w:t xml:space="preserve">[6] Sanofi India CY25 audited results. </w:t>
      </w:r>
      <w:hyperlink r:id="rId18">
        <w:r>
          <w:rPr>
            <w:color w:val="5B2C83"/>
            <w:u w:val="single"/>
          </w:rPr>
          <w:t>https://www.sanofi.com/assets/countries/india/docs/Investors/financial-results/2025/financial_results.pdf</w:t>
        </w:r>
      </w:hyperlink>
      <w:r>
        <w:rPr>
          <w:sz w:val="17"/>
        </w:rPr>
        <w:t xml:space="preserve"> CY25 reported results and export commentary.</w:t>
      </w:r>
    </w:p>
    <w:p>
      <w:pPr>
        <w:spacing w:after="40"/>
      </w:pPr>
      <w:r>
        <w:rPr>
          <w:sz w:val="17"/>
        </w:rPr>
        <w:t xml:space="preserve">[7] Sanofi India press-release archive. </w:t>
      </w:r>
      <w:hyperlink r:id="rId19">
        <w:r>
          <w:rPr>
            <w:color w:val="5B2C83"/>
            <w:u w:val="single"/>
          </w:rPr>
          <w:t>https://www.sanofi.com/en/india/media/press-releases</w:t>
        </w:r>
      </w:hyperlink>
      <w:r>
        <w:rPr>
          <w:sz w:val="17"/>
        </w:rPr>
        <w:t xml:space="preserve"> Entity-specific product launches, management and partnerships.</w:t>
      </w:r>
    </w:p>
    <w:p>
      <w:pPr>
        <w:spacing w:after="40"/>
      </w:pPr>
      <w:r>
        <w:rPr>
          <w:sz w:val="17"/>
        </w:rPr>
        <w:t xml:space="preserve">[8] Sanofi India product information. </w:t>
      </w:r>
      <w:hyperlink r:id="rId20">
        <w:r>
          <w:rPr>
            <w:color w:val="5B2C83"/>
            <w:u w:val="single"/>
          </w:rPr>
          <w:t>https://www.sanofi.com/en/india/our-science/for-healthcare-professionals/product-information</w:t>
        </w:r>
      </w:hyperlink>
      <w:r>
        <w:rPr>
          <w:sz w:val="17"/>
        </w:rPr>
        <w:t xml:space="preserve"> Molecule and brand portfolio across local entities.</w:t>
      </w:r>
    </w:p>
    <w:p>
      <w:pPr>
        <w:spacing w:after="40"/>
      </w:pPr>
      <w:r>
        <w:rPr>
          <w:sz w:val="17"/>
        </w:rPr>
        <w:t xml:space="preserve">[9] Soliqua India launch release. </w:t>
      </w:r>
      <w:hyperlink r:id="rId21">
        <w:r>
          <w:rPr>
            <w:color w:val="5B2C83"/>
            <w:u w:val="single"/>
          </w:rPr>
          <w:t>https://www.sanofi.com/assets/countries/india/docs/Media/press-releases/2024/sanofis-diabetes-drug-soliqua-now-available-in-india.pdf</w:t>
        </w:r>
      </w:hyperlink>
      <w:r>
        <w:rPr>
          <w:sz w:val="17"/>
        </w:rPr>
        <w:t xml:space="preserve"> SIL entity, indication and launch price.</w:t>
      </w:r>
    </w:p>
    <w:p>
      <w:pPr>
        <w:spacing w:after="40"/>
      </w:pPr>
      <w:r>
        <w:rPr>
          <w:sz w:val="17"/>
        </w:rPr>
        <w:t xml:space="preserve">[10] Rezurock India approval release. </w:t>
      </w:r>
      <w:hyperlink r:id="rId22">
        <w:r>
          <w:rPr>
            <w:color w:val="5B2C83"/>
            <w:u w:val="single"/>
          </w:rPr>
          <w:t>https://www.sanofi.com/assets/countries/india/docs/Media/press-releases/2025/Sanofis-breakthrough-therapy-Rezurock-approved-in-India-for-treating-patients-living-with-chronic-graft-versus-host-disease.pdf</w:t>
        </w:r>
      </w:hyperlink>
      <w:r>
        <w:rPr>
          <w:sz w:val="17"/>
        </w:rPr>
        <w:t xml:space="preserve"> SHIPL entity and specialty perimeter example.</w:t>
      </w:r>
    </w:p>
    <w:p>
      <w:pPr>
        <w:spacing w:after="40"/>
      </w:pPr>
      <w:r>
        <w:rPr>
          <w:sz w:val="17"/>
        </w:rPr>
        <w:t xml:space="preserve">[11] Sanofi Hyderabad GCC release. </w:t>
      </w:r>
      <w:hyperlink r:id="rId23">
        <w:r>
          <w:rPr>
            <w:color w:val="5B2C83"/>
            <w:u w:val="single"/>
          </w:rPr>
          <w:t>https://www.sanofi.com/assets/countries/india/docs/Media/press-releases/2024/sanofi-announces-expansion-of-its-global-capability-centre-in-hyderabad.pdf</w:t>
        </w:r>
      </w:hyperlink>
      <w:r>
        <w:rPr>
          <w:sz w:val="17"/>
        </w:rPr>
        <w:t xml:space="preserve"> SHIPL ownership of GCC investment.</w:t>
      </w:r>
    </w:p>
    <w:p>
      <w:pPr>
        <w:spacing w:after="40"/>
      </w:pPr>
      <w:r>
        <w:rPr>
          <w:sz w:val="17"/>
        </w:rPr>
        <w:t xml:space="preserve">[12] Sanofi India 2020 AGM transcript. </w:t>
      </w:r>
      <w:hyperlink r:id="rId24">
        <w:r>
          <w:rPr>
            <w:color w:val="5B2C83"/>
            <w:u w:val="single"/>
          </w:rPr>
          <w:t>https://www.sanofi.com/assets/countries/india/docs/Investors/agm-new/agm-2020/transcript-of-agm-held-on-7th-july-2020.pdf</w:t>
        </w:r>
      </w:hyperlink>
      <w:r>
        <w:rPr>
          <w:sz w:val="17"/>
        </w:rPr>
        <w:t xml:space="preserve"> Historical statement that specialty and vaccines are outside SIL.</w:t>
      </w:r>
    </w:p>
    <w:p>
      <w:pPr>
        <w:spacing w:after="40"/>
      </w:pPr>
      <w:r>
        <w:rPr>
          <w:sz w:val="17"/>
        </w:rPr>
        <w:t xml:space="preserve">[13] Cipla and Sanofi CNS partnership. </w:t>
      </w:r>
      <w:hyperlink r:id="rId25">
        <w:r>
          <w:rPr>
            <w:color w:val="5B2C83"/>
            <w:u w:val="single"/>
          </w:rPr>
          <w:t>https://www.cipla.com/press-releases-statements/Sanofi-and-Cipla-announce-exclusive-distribution-partnership-to-expand-reach-of-CNS-portfolio-in-India</w:t>
        </w:r>
      </w:hyperlink>
      <w:r>
        <w:rPr>
          <w:sz w:val="17"/>
        </w:rPr>
        <w:t xml:space="preserve"> Six-brand CNS distribution partnership.</w:t>
      </w:r>
    </w:p>
    <w:p>
      <w:pPr>
        <w:spacing w:after="40"/>
      </w:pPr>
      <w:r>
        <w:rPr>
          <w:sz w:val="17"/>
        </w:rPr>
        <w:t xml:space="preserve">[14] Sanofi / Emcure CV filing. </w:t>
      </w:r>
      <w:hyperlink r:id="rId26">
        <w:r>
          <w:rPr>
            <w:color w:val="5B2C83"/>
            <w:u w:val="single"/>
          </w:rPr>
          <w:t>https://nsearchives.nseindia.com/corporate/SANOFI_13032024155518_Disclosure_under_Regulation_30_distribution_agreement.pdf</w:t>
        </w:r>
      </w:hyperlink>
      <w:r>
        <w:rPr>
          <w:sz w:val="17"/>
        </w:rPr>
        <w:t xml:space="preserve"> Brands, roles and five-year initial term.</w:t>
      </w:r>
    </w:p>
    <w:p>
      <w:pPr>
        <w:spacing w:after="40"/>
      </w:pPr>
      <w:r>
        <w:rPr>
          <w:sz w:val="17"/>
        </w:rPr>
        <w:t xml:space="preserve">[15] ICMR-INDIAB study. </w:t>
      </w:r>
      <w:hyperlink r:id="rId27">
        <w:r>
          <w:rPr>
            <w:color w:val="5B2C83"/>
            <w:u w:val="single"/>
          </w:rPr>
          <w:t>https://www.thelancet.com/journals/landia/article/PIIS2213-8587%2823%2900119-5/fulltext</w:t>
        </w:r>
      </w:hyperlink>
      <w:r>
        <w:rPr>
          <w:sz w:val="17"/>
        </w:rPr>
        <w:t xml:space="preserve"> India diabetes and prediabetes burden.</w:t>
      </w:r>
    </w:p>
    <w:p>
      <w:pPr>
        <w:spacing w:after="40"/>
      </w:pPr>
      <w:r>
        <w:rPr>
          <w:sz w:val="17"/>
        </w:rPr>
        <w:t xml:space="preserve">[16] IDF Diabetes Atlas 2025 India page. </w:t>
      </w:r>
      <w:hyperlink r:id="rId28">
        <w:r>
          <w:rPr>
            <w:color w:val="5B2C83"/>
            <w:u w:val="single"/>
          </w:rPr>
          <w:t>https://diabetesatlas.org/data-by-location/country/india/</w:t>
        </w:r>
      </w:hyperlink>
      <w:r>
        <w:rPr>
          <w:sz w:val="17"/>
        </w:rPr>
        <w:t xml:space="preserve"> 2024 and 2050 adult diabetes estimates.</w:t>
      </w:r>
    </w:p>
    <w:p>
      <w:pPr>
        <w:spacing w:after="40"/>
      </w:pPr>
      <w:r>
        <w:rPr>
          <w:sz w:val="17"/>
        </w:rPr>
        <w:t xml:space="preserve">[17] NPPA portal. </w:t>
      </w:r>
      <w:hyperlink r:id="rId29">
        <w:r>
          <w:rPr>
            <w:color w:val="5B2C83"/>
            <w:u w:val="single"/>
          </w:rPr>
          <w:t>https://nppa.gov.in/</w:t>
        </w:r>
      </w:hyperlink>
      <w:r>
        <w:rPr>
          <w:sz w:val="17"/>
        </w:rPr>
        <w:t xml:space="preserve"> NLEM and price-control framework.</w:t>
      </w:r>
    </w:p>
    <w:p>
      <w:pPr>
        <w:spacing w:after="40"/>
      </w:pPr>
      <w:r>
        <w:rPr>
          <w:sz w:val="17"/>
        </w:rPr>
        <w:t xml:space="preserve">[18] Reuters: Awiqli launch in India. </w:t>
      </w:r>
      <w:hyperlink r:id="rId30">
        <w:r>
          <w:rPr>
            <w:color w:val="5B2C83"/>
            <w:u w:val="single"/>
          </w:rPr>
          <w:t>https://www.reuters.com/business/healthcare-pharmaceuticals/novo-nordisk-launches-weekly-insulin-shot-awiqli-india-diabetes-burden-rises-2026-07-09/</w:t>
        </w:r>
      </w:hyperlink>
      <w:r>
        <w:rPr>
          <w:sz w:val="17"/>
        </w:rPr>
        <w:t xml:space="preserve"> Launch, pricing and insulin-user context.</w:t>
      </w:r>
    </w:p>
    <w:p>
      <w:pPr>
        <w:spacing w:after="40"/>
      </w:pPr>
      <w:r>
        <w:rPr>
          <w:sz w:val="17"/>
        </w:rPr>
        <w:t xml:space="preserve">[19] Reuters: India obesity-drug demand. </w:t>
      </w:r>
      <w:hyperlink r:id="rId31">
        <w:r>
          <w:rPr>
            <w:color w:val="5B2C83"/>
            <w:u w:val="single"/>
          </w:rPr>
          <w:t>https://www.reuters.com/business/healthcare-pharmaceuticals/demand-obesity-drugs-shoots-up-india-lilly-novo-jostle-market-share-2025-07-07/</w:t>
        </w:r>
      </w:hyperlink>
      <w:r>
        <w:rPr>
          <w:sz w:val="17"/>
        </w:rPr>
        <w:t xml:space="preserve"> Mounjaro/Wegovy uptake and market size.</w:t>
      </w:r>
    </w:p>
    <w:p>
      <w:pPr>
        <w:spacing w:after="40"/>
      </w:pPr>
      <w:r>
        <w:rPr>
          <w:sz w:val="17"/>
        </w:rPr>
        <w:t xml:space="preserve">[20] Sanofi India board page. </w:t>
      </w:r>
      <w:hyperlink r:id="rId32">
        <w:r>
          <w:rPr>
            <w:color w:val="5B2C83"/>
            <w:u w:val="single"/>
          </w:rPr>
          <w:t>https://www.sanofi.com/en/india/investors/board-of-directors-and-leadership-team/board-of-directors</w:t>
        </w:r>
      </w:hyperlink>
      <w:r>
        <w:rPr>
          <w:sz w:val="17"/>
        </w:rPr>
        <w:t xml:space="preserve"> Current board and leadership.</w:t>
      </w:r>
    </w:p>
    <w:p>
      <w:pPr>
        <w:spacing w:after="40"/>
      </w:pPr>
      <w:r>
        <w:rPr>
          <w:sz w:val="17"/>
        </w:rPr>
        <w:t xml:space="preserve">[21] Kotak Neo Sanofi India market page. </w:t>
      </w:r>
      <w:hyperlink r:id="rId33">
        <w:r>
          <w:rPr>
            <w:color w:val="5B2C83"/>
            <w:u w:val="single"/>
          </w:rPr>
          <w:t>https://www.kotakneo.com/stocks/sanofi-india-ltd/</w:t>
        </w:r>
      </w:hyperlink>
      <w:r>
        <w:rPr>
          <w:sz w:val="17"/>
        </w:rPr>
        <w:t xml:space="preserve"> Point-in-time share price, market cap and P/E.</w:t>
      </w:r>
    </w:p>
    <w:p>
      <w:pPr>
        <w:spacing w:after="40"/>
      </w:pPr>
      <w:r>
        <w:rPr>
          <w:sz w:val="17"/>
        </w:rPr>
        <w:t xml:space="preserve">[22] Screener: Pfizer India. </w:t>
      </w:r>
      <w:hyperlink r:id="rId34">
        <w:r>
          <w:rPr>
            <w:color w:val="5B2C83"/>
            <w:u w:val="single"/>
          </w:rPr>
          <w:t>https://www.screener.in/company/PFIZER/</w:t>
        </w:r>
      </w:hyperlink>
      <w:r>
        <w:rPr>
          <w:sz w:val="17"/>
        </w:rPr>
        <w:t xml:space="preserve"> Point-in-time peer P/E.</w:t>
      </w:r>
    </w:p>
    <w:p>
      <w:pPr>
        <w:spacing w:after="40"/>
      </w:pPr>
      <w:r>
        <w:rPr>
          <w:sz w:val="17"/>
        </w:rPr>
        <w:t xml:space="preserve">[23] Screener: Abbott India. </w:t>
      </w:r>
      <w:hyperlink r:id="rId35">
        <w:r>
          <w:rPr>
            <w:color w:val="5B2C83"/>
            <w:u w:val="single"/>
          </w:rPr>
          <w:t>https://www.screener.in/company/ABBOTINDIA/</w:t>
        </w:r>
      </w:hyperlink>
      <w:r>
        <w:rPr>
          <w:sz w:val="17"/>
        </w:rPr>
        <w:t xml:space="preserve"> Point-in-time peer P/E.</w:t>
      </w:r>
    </w:p>
    <w:p>
      <w:pPr>
        <w:spacing w:after="40"/>
      </w:pPr>
      <w:r>
        <w:rPr>
          <w:sz w:val="17"/>
        </w:rPr>
        <w:t xml:space="preserve">[24] Value Research: GSK Pharmaceuticals India. </w:t>
      </w:r>
      <w:hyperlink r:id="rId36">
        <w:r>
          <w:rPr>
            <w:color w:val="5B2C83"/>
            <w:u w:val="single"/>
          </w:rPr>
          <w:t>https://www.valueresearchonline.com/stocks/42186/glaxosmithkline-pharmaceuticals-ltd/</w:t>
        </w:r>
      </w:hyperlink>
      <w:r>
        <w:rPr>
          <w:sz w:val="17"/>
        </w:rPr>
        <w:t xml:space="preserve"> Point-in-time peer P/E.</w:t>
      </w:r>
    </w:p>
    <w:p>
      <w:pPr>
        <w:pStyle w:val="Heading2"/>
      </w:pPr>
      <w:r>
        <w:t>Important limitations</w:t>
      </w:r>
    </w:p>
    <w:p>
      <w:pPr>
        <w:pStyle w:val="ListBullet"/>
        <w:spacing w:after="40"/>
        <w:ind w:left="0"/>
      </w:pPr>
      <w:r>
        <w:t>The company does not disclose product-level revenue or gross margin. Product economics are therefore directional.</w:t>
      </w:r>
    </w:p>
    <w:p>
      <w:pPr>
        <w:pStyle w:val="ListBullet"/>
        <w:spacing w:after="40"/>
        <w:ind w:left="0"/>
      </w:pPr>
      <w:r>
        <w:t>IQVIA market-share figures are management disclosures from company materials and may use category definitions not fully reproduced in public filings.</w:t>
      </w:r>
    </w:p>
    <w:p>
      <w:pPr>
        <w:pStyle w:val="ListBullet"/>
        <w:spacing w:after="40"/>
        <w:ind w:left="0"/>
      </w:pPr>
      <w:r>
        <w:t>Current market price and peer multiples move daily. The document uses values available around 16 September 2026.</w:t>
      </w:r>
    </w:p>
    <w:p>
      <w:pPr>
        <w:pStyle w:val="ListBullet"/>
        <w:spacing w:after="40"/>
        <w:ind w:left="0"/>
      </w:pPr>
      <w:r>
        <w:t>The entity-perimeter matrix is based on explicit public evidence. Where a current legal entity is not identified, the primer excludes the asset from SIL rather than assume ownership.</w:t>
      </w:r>
    </w:p>
    <w:p>
      <w:pPr>
        <w:pStyle w:val="ListBullet"/>
        <w:spacing w:after="40"/>
        <w:ind w:left="0"/>
      </w:pPr>
      <w:r>
        <w:t>Scenario values are educational sensitivities, not price targets or recommendations.</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3"/>
        <w:sz w:val="14"/>
      </w:rPr>
      <w:t xml:space="preserve">16 September 2026   |   Educational research, not an investment recommendation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2C83"/>
        <w:sz w:val="14"/>
      </w:rPr>
      <w:t>SANOFI INDIA LIMITED  |  INSTITUTIONAL RESEARCH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eastAsia="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5B2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5D66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sanofi.com/en/india/investors" TargetMode="External"/><Relationship Id="rId14" Type="http://schemas.openxmlformats.org/officeDocument/2006/relationships/hyperlink" Target="https://www.sanofi.com/assets/countries/india/docs/Investors/annual-reports/2005/Annual-Report-2025.pdf" TargetMode="External"/><Relationship Id="rId15" Type="http://schemas.openxmlformats.org/officeDocument/2006/relationships/hyperlink" Target="https://www.sanofi.com/assets/countries/india/docs/Investors/investor-information/analyst-investor-meet/2026/Investor-call-Presentation.pdf" TargetMode="External"/><Relationship Id="rId16" Type="http://schemas.openxmlformats.org/officeDocument/2006/relationships/hyperlink" Target="https://www.sanofi.com/assets/countries/india/docs/Investors/investor-information/analyst-investor-meet/2026/Investor-Call---transcript.pdf" TargetMode="External"/><Relationship Id="rId17" Type="http://schemas.openxmlformats.org/officeDocument/2006/relationships/hyperlink" Target="https://www.sanofi.com/assets/countries/india/docs/Investors/financial-results/2026/Unaudited-Financial-Results-for-the-quarter-and-half-year-ended-30th-June-2026.pdf" TargetMode="External"/><Relationship Id="rId18" Type="http://schemas.openxmlformats.org/officeDocument/2006/relationships/hyperlink" Target="https://www.sanofi.com/assets/countries/india/docs/Investors/financial-results/2025/financial_results.pdf" TargetMode="External"/><Relationship Id="rId19" Type="http://schemas.openxmlformats.org/officeDocument/2006/relationships/hyperlink" Target="https://www.sanofi.com/en/india/media/press-releases" TargetMode="External"/><Relationship Id="rId20" Type="http://schemas.openxmlformats.org/officeDocument/2006/relationships/hyperlink" Target="https://www.sanofi.com/en/india/our-science/for-healthcare-professionals/product-information" TargetMode="External"/><Relationship Id="rId21" Type="http://schemas.openxmlformats.org/officeDocument/2006/relationships/hyperlink" Target="https://www.sanofi.com/assets/countries/india/docs/Media/press-releases/2024/sanofis-diabetes-drug-soliqua-now-available-in-india.pdf" TargetMode="External"/><Relationship Id="rId22" Type="http://schemas.openxmlformats.org/officeDocument/2006/relationships/hyperlink" Target="https://www.sanofi.com/assets/countries/india/docs/Media/press-releases/2025/Sanofis-breakthrough-therapy-Rezurock-approved-in-India-for-treating-patients-living-with-chronic-graft-versus-host-disease.pdf" TargetMode="External"/><Relationship Id="rId23" Type="http://schemas.openxmlformats.org/officeDocument/2006/relationships/hyperlink" Target="https://www.sanofi.com/assets/countries/india/docs/Media/press-releases/2024/sanofi-announces-expansion-of-its-global-capability-centre-in-hyderabad.pdf" TargetMode="External"/><Relationship Id="rId24" Type="http://schemas.openxmlformats.org/officeDocument/2006/relationships/hyperlink" Target="https://www.sanofi.com/assets/countries/india/docs/Investors/agm-new/agm-2020/transcript-of-agm-held-on-7th-july-2020.pdf" TargetMode="External"/><Relationship Id="rId25" Type="http://schemas.openxmlformats.org/officeDocument/2006/relationships/hyperlink" Target="https://www.cipla.com/press-releases-statements/Sanofi-and-Cipla-announce-exclusive-distribution-partnership-to-expand-reach-of-CNS-portfolio-in-India" TargetMode="External"/><Relationship Id="rId26" Type="http://schemas.openxmlformats.org/officeDocument/2006/relationships/hyperlink" Target="https://nsearchives.nseindia.com/corporate/SANOFI_13032024155518_Disclosure_under_Regulation_30_distribution_agreement.pdf" TargetMode="External"/><Relationship Id="rId27" Type="http://schemas.openxmlformats.org/officeDocument/2006/relationships/hyperlink" Target="https://www.thelancet.com/journals/landia/article/PIIS2213-8587%2823%2900119-5/fulltext" TargetMode="External"/><Relationship Id="rId28" Type="http://schemas.openxmlformats.org/officeDocument/2006/relationships/hyperlink" Target="https://diabetesatlas.org/data-by-location/country/india/" TargetMode="External"/><Relationship Id="rId29" Type="http://schemas.openxmlformats.org/officeDocument/2006/relationships/hyperlink" Target="https://nppa.gov.in/" TargetMode="External"/><Relationship Id="rId30" Type="http://schemas.openxmlformats.org/officeDocument/2006/relationships/hyperlink" Target="https://www.reuters.com/business/healthcare-pharmaceuticals/novo-nordisk-launches-weekly-insulin-shot-awiqli-india-diabetes-burden-rises-2026-07-09/" TargetMode="External"/><Relationship Id="rId31" Type="http://schemas.openxmlformats.org/officeDocument/2006/relationships/hyperlink" Target="https://www.reuters.com/business/healthcare-pharmaceuticals/demand-obesity-drugs-shoots-up-india-lilly-novo-jostle-market-share-2025-07-07/" TargetMode="External"/><Relationship Id="rId32" Type="http://schemas.openxmlformats.org/officeDocument/2006/relationships/hyperlink" Target="https://www.sanofi.com/en/india/investors/board-of-directors-and-leadership-team/board-of-directors" TargetMode="External"/><Relationship Id="rId33" Type="http://schemas.openxmlformats.org/officeDocument/2006/relationships/hyperlink" Target="https://www.kotakneo.com/stocks/sanofi-india-ltd/" TargetMode="External"/><Relationship Id="rId34" Type="http://schemas.openxmlformats.org/officeDocument/2006/relationships/hyperlink" Target="https://www.screener.in/company/PFIZER/" TargetMode="External"/><Relationship Id="rId35" Type="http://schemas.openxmlformats.org/officeDocument/2006/relationships/hyperlink" Target="https://www.screener.in/company/ABBOTINDIA/" TargetMode="External"/><Relationship Id="rId36" Type="http://schemas.openxmlformats.org/officeDocument/2006/relationships/hyperlink" Target="https://www.valueresearchonline.com/stocks/42186/glaxosmithkline-pharmaceuticals-l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Sanofi India Limited Institutional Research Primer 2026</dc:title>
  <dc:subject>Bottom-up equity research primer</dc:subject>
  <dc:creator>OpenAI</dc:creator>
  <cp:keywords>Sanofi India, diabetes, insulin, Lantus, Toujeo, Soliqua, equity research</cp:keywords>
  <dc:description>Prepared from public information through 16 September 2026.</dc:description>
  <cp:lastModifiedBy/>
  <cp:revision>1</cp:revision>
  <dcterms:created xsi:type="dcterms:W3CDTF">2013-12-23T23:15:00Z</dcterms:created>
  <dcterms:modified xsi:type="dcterms:W3CDTF">2013-12-23T23:15:00Z</dcterms:modified>
  <cp:category/>
</cp:coreProperties>
</file>