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Indian Healthcare: sector overview</w:t>
      </w:r>
    </w:p>
    <w:p>
      <w:pPr>
        <w:pStyle w:val="CompactNote"/>
        <w:jc w:val="center"/>
      </w:pPr>
      <w:r>
        <w:t>Biopharma under formal coverage. Hospitals and diagnostics are high-level sector views.</w:t>
      </w:r>
    </w:p>
    <w:p>
      <w:pPr>
        <w:pStyle w:val="Heading1"/>
        <w:keepNext/>
      </w:pPr>
      <w:r>
        <w:t>Biopharma: the next cycle is mix upgrade, not more vanilla generics</w:t>
      </w:r>
    </w:p>
    <w:p>
      <w:pPr/>
      <w:r>
        <w:t>Indian biopharma is entering a different earnings cycle. The old export model was built on scale chemistry, ANDA volume, API and US generic arbitrage. That model remains cash generative, but it is no longer enough to compound sector earnings at premium rates. Price erosion, commoditisation and recurring compliance shocks cap ROCE. We estimate Indian biopharma can expand from c.US$57bn in FY25 to c.US$195bn by 2035, a c.13% CAGR versus consensus closer to c.US$152bn and c.10% CAGR. The gap is not driven by a better view on base generics. It is driven by innovation-led mix shift.</w:t>
      </w:r>
    </w:p>
    <w:p>
      <w:pPr/>
      <w:r>
        <w:t>The investable opportunity is not broad new molecule discovery. India is not yet structurally positioned for full NCE innovation at global pharma scale. The more relevant path is incremental innovation: 505(b)(2) assets, Para IV and complex ANDAs, complex injectables, drug-device combinations, repurposed assets, orphan opportunities, peptides, select biologics and biosimilars. These are the buckets we describe as Rainmakers and Complex Specialty. They require regulatory science, process chemistry, clinical filing capability, delivery-device expertise, manufacturing quality and market access. They do not require Indian companies to outspend global pharma on discovery.</w:t>
      </w:r>
    </w:p>
    <w:p>
      <w:pPr/>
      <w:r>
        <w:t>Economics are materially better than vanilla generics because competition is lower, file complexity is higher, durability is longer and price erosion is less immediate. In our framework, innovation-led revenue accounts for c.US$126bn of the sector's incremental revenue pool by 2035. Within this, Rainmakers contribute c.US$70-75bn, Complex Specialty c.US$45-55bn, and the traditional lights-on layer c.US$12-15bn. The sector should therefore not be valued only on the next US generic price cycle. The right question is which companies can move up the innovation pyramid without breaking balance sheets or compliance systems.</w:t>
      </w:r>
    </w:p>
    <w:p>
      <w:pPr/>
      <w:r>
        <w:t>Geography is the second driver. Companies that remain narrowly tied to US generics will struggle to escape price deflation and inspection volatility. The better model uses the US filing base and regulatory credibility to monetise assets across EMEU, LatAm, Asia, Australia and other ex-US markets. These markets are not a substitute for US economics, but they extend the revenue window, reduce dependence on one pricing pool and improve risk-adjusted growth for complex portfolios.</w:t>
      </w:r>
    </w:p>
    <w:p>
      <w:pPr/>
      <w:r>
        <w:t>Domestic IPM quality is the third driver. Within India, we prefer franchises with higher chronic exposure, stronger prescription stickiness and deeper doctor-market relationships. Acute-heavy portfolios can grow with seasonality and channel push, but chronic therapies provide recurring patient pools, better visibility and more defensible brand economics. As the disease burden shifts toward lifestyle and chronic conditions, companies with higher chronic share, therapy depth and disciplined execution should deserve a premium.</w:t>
      </w:r>
    </w:p>
    <w:p>
      <w:pPr/>
      <w:r>
        <w:t>Quality culture is the gating variable. Innovation-heavy portfolios only create value if filings clear and sites remain reliable. Warning letters, repeat OAIs, data-integrity events and remediation-heavy plants compress valuation because they delay launches, consume management bandwidth and turn pipelines into optionality. The quality curve matters as much as the pipeline curve. Companies that combine complex assets with cleaner compliance history should trade at a structural premium.</w:t>
      </w:r>
    </w:p>
    <w:p>
      <w:pPr/>
      <w:r>
        <w:t>This is also a valuation argument. Policy uncertainty, tariffs, China+1 timing and US generic headwinds have kept sector multiples contained. We think the market is still underwriting too much of the sector as a generic exporter and too little as an innovation-mix upgrade story. Multiple support should accrue to companies with visible complex launches, cleaner sites, stronger chronic domestic franchises and credible ex-US monetisation.</w:t>
      </w:r>
    </w:p>
    <w:p>
      <w:pPr/>
      <w:r>
        <w:t>Our preferred names are Zydus, Lupin and Sun Pharma. Zydus screens well on incremental innovation, chronic exposure and execution cadence. Lupin has rebuilt credibility through complex launches and a sharper specialty, respiratory and orphan direction, with better leverage to non-vanilla assets. Sun Pharma remains the highest-quality large-cap compounder, supported by specialty, domestic chronic strength and superior execution. Aurobindo is more balanced than broken, but screens as Market Perform given higher dependence on scale generics and a less differentiated innovation mix. Biocon has the right biosimilar theme, but we lack confidence in execution consistency, integration and timing. Mankind has strong domestic execution, but its mix is less aligned with the innovation-led thesis and valuation leaves less room for error.</w:t>
      </w:r>
    </w:p>
    <w:p>
      <w:pPr/>
      <w:r>
        <w:t>Biosimilars remain an important sector opportunity, but should not be treated as a universal re-rating trigger. The opportunity is real only where companies demonstrate development depth, regulatory delivery, manufacturing reliability and commercial access. Without execution, biosimilars become capital-intensive optionality rather than an earnings compounder.</w:t>
      </w:r>
    </w:p>
    <w:p>
      <w:pPr>
        <w:pStyle w:val="Heading1"/>
        <w:keepNext/>
      </w:pPr>
      <w:r>
        <w:t>Hospitals: bed shortage is the wrong aggregate metric</w:t>
      </w:r>
    </w:p>
    <w:p>
      <w:pPr/>
      <w:r>
        <w:t>We do not formally cover hospitals. Our high-level view is that the debate is often misframed. The headline claim that India has a national shortage of beds is directionally true but not investable on its own. Bed supply must be analysed by city, specialty, payer mix and incremental ROIC. Tier 1 cities such as Mumbai, Bengaluru and Delhi NCR are not the same market as tier 2 and tier 3 India. In several tier 1 micro-markets, premium multispecialty capacity has already become structurally competitive. Incremental beds there can look more like hotel real estate: high capex, expensive land, premium interiors, occupancy risk and weaker incremental returns.</w:t>
      </w:r>
    </w:p>
    <w:p>
      <w:pPr/>
      <w:r>
        <w:t>The better opportunity is where clinical demand is underpenetrated and quality supply remains scarce: tier 2 and selected tier 3 markets, especially where a brand can transfer protocols, procurement, clinical governance and doctor productivity across clusters. Single-specialty models can be attractive if they carry repeatable unit economics, lower capex per bed, focused doctor acquisition and clearer patient funnels. We would therefore prefer scaled specialty or focused multispecialty platforms expanding into under-supplied cities over generic premium-bed additions in saturated metro catchments. Rainbow-type models screen better in this framework because they are specialty-led and not restricted to top-tier metro demand pools.</w:t>
      </w:r>
    </w:p>
    <w:p>
      <w:pPr/>
      <w:r>
        <w:t>The risk is to confuse capacity growth with value creation. New beds create value only when the hospital can fill them at acceptable ARPOB, retain doctors, keep payor mix under control and avoid long gestation on land and equipment. The best hospital businesses should look like clinical operating platforms, not premium real-estate plays.</w:t>
      </w:r>
    </w:p>
    <w:p>
      <w:pPr>
        <w:pStyle w:val="Heading1"/>
        <w:keepNext/>
      </w:pPr>
      <w:r>
        <w:t>Diagnostics: move away from commoditised pathology</w:t>
      </w:r>
    </w:p>
    <w:p>
      <w:pPr/>
      <w:r>
        <w:t>We do not formally cover diagnostics. Our view is that plain-vanilla pathology has become structurally harder. Collection-network density, discounting, aggregator-led price transparency and low test differentiation cap long-term returns. The better diagnostic platforms should be those moving toward radiology, imaging-led workflows, AI-enabled reporting, specialist interpretation, oncology and genomics where credible, and higher-frequency chronic-care adjacencies.</w:t>
      </w:r>
    </w:p>
    <w:p>
      <w:pPr/>
      <w:r>
        <w:t>The analogy is similar to pharma: chronic and specialised use-cases deserve better economics than acute one-off testing. Companies that move into dialysis, renal-care adjacencies, specialised treatment-linked diagnostics or integrated disease-management models can create higher retention and better lifetime value than simple blood-sample collection. NephroCare-type models, if executed with discipline, fit this logic better than undifferentiated pathology chains.</w:t>
      </w:r>
    </w:p>
    <w:p>
      <w:pPr/>
      <w:r>
        <w:t>Radiology is a better long-term moat than basic pathology where execution is strong. Equipment utilisation, reporting turnaround, specialist capacity, AI triage and hospital-referral integration can create operating leverage that a pure sample collection model struggles to replicate. The winners should be those that combine diagnostic throughput with clinical relevance, not those that merely add collection points.</w:t>
      </w:r>
    </w:p>
    <w:p>
      <w:pPr/>
      <w:r>
        <w:t>Government PPP is another potential growth channel, but only if managed with cash discipline. PPP contracts can provide volumes and network access, particularly in diagnostics and dialysis, but weak receivables, slow payments and poor contract pricing can destroy return ratios. We would favour companies that participate selectively in government PPP with strong working-capital controls, transparent pricing and enforceable collection discipline.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E5F"/>
      <w:sz w:val="2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1F4E5F"/>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5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ote">
    <w:name w:val="CompactNote"/>
    <w:pPr>
      <w:spacing w:after="100" w:line="240" w:lineRule="auto"/>
    </w:pPr>
    <w:rPr>
      <w:rFonts w:ascii="Arial" w:hAnsi="Arial" w:eastAsia="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Healthcare Sector Overview</dc:title>
  <dc:subject>Client summary</dc:subject>
  <dc:creator/>
  <cp:keywords/>
  <dc:description/>
  <cp:lastModifiedBy/>
  <cp:revision>1</cp:revision>
  <dcterms:created xsi:type="dcterms:W3CDTF">2013-12-23T23:15:00Z</dcterms:created>
  <dcterms:modified xsi:type="dcterms:W3CDTF">2013-12-23T23:15:00Z</dcterms:modified>
  <cp:category/>
</cp:coreProperties>
</file>