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" w:line="240" w:lineRule="auto"/>
      </w:pPr>
      <w:r>
        <w:rPr>
          <w:rFonts w:ascii="Arial" w:hAnsi="Arial" w:eastAsia="Arial"/>
          <w:b/>
          <w:i w:val="0"/>
          <w:color w:val="183B56"/>
          <w:sz w:val="29"/>
        </w:rPr>
        <w:t>VAT GROUP AG (SIX: VACN)</w:t>
      </w:r>
      <w:r>
        <w:rPr>
          <w:rFonts w:ascii="Arial" w:hAnsi="Arial" w:eastAsia="Arial"/>
          <w:b/>
          <w:i w:val="0"/>
          <w:color w:val="2B9C91"/>
          <w:sz w:val="20"/>
        </w:rPr>
        <w:t xml:space="preserve">  |  RECORD BACKLOG, CAPACITY CATCH-UP, EARNINGS UPGRADES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1555"/>
        <w:gridCol w:w="1555"/>
        <w:gridCol w:w="1555"/>
        <w:gridCol w:w="1555"/>
        <w:gridCol w:w="1555"/>
        <w:gridCol w:w="1555"/>
      </w:tblGrid>
      <w:tr>
        <w:trPr>
          <w:cantSplit/>
        </w:trPr>
        <w:tc>
          <w:tcPr>
            <w:tcW w:type="dxa" w:w="1944"/>
            <w:shd w:fill="2E6E5A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tcBorders>
              <w:top w:sz="3" w:val="single" w:color="FFFFFF"/>
              <w:left w:sz="3" w:val="single" w:color="FFFFFF"/>
              <w:bottom w:sz="3" w:val="single" w:color="FFFFFF"/>
              <w:right w:sz="3" w:val="single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i w:val="0"/>
                <w:color w:val="FFFFFF"/>
                <w:sz w:val="11"/>
              </w:rPr>
              <w:t>RECOMMENDATION</w:t>
              <w:br/>
            </w:r>
            <w:r>
              <w:rPr>
                <w:rFonts w:ascii="Arial" w:hAnsi="Arial"/>
                <w:b/>
                <w:i w:val="0"/>
                <w:color w:val="FFFFFF"/>
                <w:sz w:val="14"/>
              </w:rPr>
              <w:t>BUY</w:t>
            </w:r>
          </w:p>
        </w:tc>
        <w:tc>
          <w:tcPr>
            <w:tcW w:type="dxa" w:w="1108"/>
            <w:shd w:fill="EAF0F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tcBorders>
              <w:top w:sz="3" w:val="single" w:color="FFFFFF"/>
              <w:left w:sz="3" w:val="single" w:color="FFFFFF"/>
              <w:bottom w:sz="3" w:val="single" w:color="FFFFFF"/>
              <w:right w:sz="3" w:val="single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i w:val="0"/>
                <w:color w:val="6B7780"/>
                <w:sz w:val="11"/>
              </w:rPr>
              <w:t>PRICE</w:t>
              <w:br/>
            </w:r>
            <w:r>
              <w:rPr>
                <w:rFonts w:ascii="Arial" w:hAnsi="Arial"/>
                <w:b/>
                <w:i w:val="0"/>
                <w:color w:val="111111"/>
                <w:sz w:val="14"/>
              </w:rPr>
              <w:t>CHF 602</w:t>
            </w:r>
          </w:p>
        </w:tc>
        <w:tc>
          <w:tcPr>
            <w:tcW w:type="dxa" w:w="1224"/>
            <w:shd w:fill="EAF0F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tcBorders>
              <w:top w:sz="3" w:val="single" w:color="FFFFFF"/>
              <w:left w:sz="3" w:val="single" w:color="FFFFFF"/>
              <w:bottom w:sz="3" w:val="single" w:color="FFFFFF"/>
              <w:right w:sz="3" w:val="single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i w:val="0"/>
                <w:color w:val="6B7780"/>
                <w:sz w:val="11"/>
              </w:rPr>
              <w:t>TARGET PRICE</w:t>
              <w:br/>
            </w:r>
            <w:r>
              <w:rPr>
                <w:rFonts w:ascii="Arial" w:hAnsi="Arial"/>
                <w:b/>
                <w:i w:val="0"/>
                <w:color w:val="111111"/>
                <w:sz w:val="14"/>
              </w:rPr>
              <w:t>CHF 785</w:t>
            </w:r>
          </w:p>
        </w:tc>
        <w:tc>
          <w:tcPr>
            <w:tcW w:type="dxa" w:w="748"/>
            <w:shd w:fill="EAF0F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tcBorders>
              <w:top w:sz="3" w:val="single" w:color="FFFFFF"/>
              <w:left w:sz="3" w:val="single" w:color="FFFFFF"/>
              <w:bottom w:sz="3" w:val="single" w:color="FFFFFF"/>
              <w:right w:sz="3" w:val="single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i w:val="0"/>
                <w:color w:val="6B7780"/>
                <w:sz w:val="11"/>
              </w:rPr>
              <w:t>UPSIDE</w:t>
              <w:br/>
            </w:r>
            <w:r>
              <w:rPr>
                <w:rFonts w:ascii="Arial" w:hAnsi="Arial"/>
                <w:b/>
                <w:i w:val="0"/>
                <w:color w:val="111111"/>
                <w:sz w:val="14"/>
              </w:rPr>
              <w:t>+30%</w:t>
            </w:r>
          </w:p>
        </w:tc>
        <w:tc>
          <w:tcPr>
            <w:tcW w:type="dxa" w:w="1267"/>
            <w:shd w:fill="EAF0F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tcBorders>
              <w:top w:sz="3" w:val="single" w:color="FFFFFF"/>
              <w:left w:sz="3" w:val="single" w:color="FFFFFF"/>
              <w:bottom w:sz="3" w:val="single" w:color="FFFFFF"/>
              <w:right w:sz="3" w:val="single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i w:val="0"/>
                <w:color w:val="6B7780"/>
                <w:sz w:val="11"/>
              </w:rPr>
              <w:t>MARKET CAP</w:t>
              <w:br/>
            </w:r>
            <w:r>
              <w:rPr>
                <w:rFonts w:ascii="Arial" w:hAnsi="Arial"/>
                <w:b/>
                <w:i w:val="0"/>
                <w:color w:val="111111"/>
                <w:sz w:val="14"/>
              </w:rPr>
              <w:t>CHF 18.1bn</w:t>
            </w:r>
          </w:p>
        </w:tc>
        <w:tc>
          <w:tcPr>
            <w:tcW w:type="dxa" w:w="1238"/>
            <w:shd w:fill="EAF0F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tcBorders>
              <w:top w:sz="3" w:val="single" w:color="FFFFFF"/>
              <w:left w:sz="3" w:val="single" w:color="FFFFFF"/>
              <w:bottom w:sz="3" w:val="single" w:color="FFFFFF"/>
              <w:right w:sz="3" w:val="single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i w:val="0"/>
                <w:color w:val="6B7780"/>
                <w:sz w:val="11"/>
              </w:rPr>
              <w:t>HORIZON</w:t>
              <w:br/>
            </w:r>
            <w:r>
              <w:rPr>
                <w:rFonts w:ascii="Arial" w:hAnsi="Arial"/>
                <w:b/>
                <w:i w:val="0"/>
                <w:color w:val="111111"/>
                <w:sz w:val="14"/>
              </w:rPr>
              <w:t>12 months</w:t>
            </w:r>
          </w:p>
        </w:tc>
        <w:tc>
          <w:tcPr>
            <w:tcW w:type="dxa" w:w="2376"/>
            <w:shd w:fill="EAF0F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tcBorders>
              <w:top w:sz="3" w:val="single" w:color="FFFFFF"/>
              <w:left w:sz="3" w:val="single" w:color="FFFFFF"/>
              <w:bottom w:sz="3" w:val="single" w:color="FFFFFF"/>
              <w:right w:sz="3" w:val="single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i w:val="0"/>
                <w:color w:val="6B7780"/>
                <w:sz w:val="11"/>
              </w:rPr>
              <w:t>PRIMARY CATALYST</w:t>
              <w:br/>
            </w:r>
            <w:r>
              <w:rPr>
                <w:rFonts w:ascii="Arial" w:hAnsi="Arial"/>
                <w:b/>
                <w:i w:val="0"/>
                <w:color w:val="111111"/>
                <w:sz w:val="13"/>
              </w:rPr>
              <w:t>Q3 update, 15 Oct</w:t>
              <w:br/>
              <w:t>2026</w:t>
            </w:r>
          </w:p>
        </w:tc>
      </w:tr>
    </w:tbl>
    <w:p>
      <w:pPr>
        <w:keepNext/>
        <w:keepLines/>
        <w:spacing w:before="40" w:after="20" w:line="240" w:lineRule="auto"/>
        <w:pBdr>
          <w:bottom w:val="single" w:sz="8" w:space="1" w:color="4E7896"/>
        </w:pBdr>
      </w:pPr>
      <w:r>
        <w:rPr>
          <w:rFonts w:ascii="Arial" w:hAnsi="Arial" w:eastAsia="Arial"/>
          <w:b/>
          <w:i w:val="0"/>
          <w:color w:val="183B56"/>
          <w:sz w:val="18"/>
        </w:rPr>
        <w:t>1. INVESTMENT THESIS</w:t>
      </w:r>
    </w:p>
    <w:p>
      <w:pPr>
        <w:spacing w:before="0" w:after="0" w:line="228" w:lineRule="auto"/>
      </w:pPr>
      <w:r>
        <w:rPr>
          <w:rFonts w:ascii="Arial" w:hAnsi="Arial"/>
          <w:b/>
          <w:i w:val="0"/>
          <w:color w:val="111111"/>
          <w:sz w:val="17"/>
        </w:rPr>
        <w:t xml:space="preserve">Buy VAT. </w:t>
      </w:r>
      <w:r>
        <w:rPr>
          <w:rFonts w:ascii="Arial" w:hAnsi="Arial"/>
          <w:b w:val="0"/>
          <w:i w:val="0"/>
          <w:color w:val="111111"/>
          <w:sz w:val="17"/>
        </w:rPr>
        <w:t>H1 2026 order intake of CHF 856m and backlog of CHF 648m give unusually high visibility into a 2027 revenue step-up, while quarterly factory capacity is moving from c.CHF 320m at June-end to &gt;CHF 450m by year-end. Public consensus still models CHF 1.64bn revenue and CHF 589m EBITDA in 2027; we forecast CHF 1.90bn and CHF 703m as backlog converts and temporary ramp costs unwind. At 33.5x our 2027E EBITDA, the shares are worth CHF 785, implying 30% upside from CHF 602. VAT's &gt;70% market share, exposure to vacuum-heavy deposition and etch, and high-margin service base support the premium.</w:t>
      </w:r>
    </w:p>
    <w:p>
      <w:pPr>
        <w:keepNext/>
        <w:keepLines/>
        <w:spacing w:before="40" w:after="20" w:line="240" w:lineRule="auto"/>
        <w:pBdr>
          <w:bottom w:val="single" w:sz="8" w:space="1" w:color="4E7896"/>
        </w:pBdr>
      </w:pPr>
      <w:r>
        <w:rPr>
          <w:rFonts w:ascii="Arial" w:hAnsi="Arial" w:eastAsia="Arial"/>
          <w:b/>
          <w:i w:val="0"/>
          <w:color w:val="183B56"/>
          <w:sz w:val="18"/>
        </w:rPr>
        <w:t>2. VARIANT PERCEPTION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43"/>
        <w:gridCol w:w="5443"/>
      </w:tblGrid>
      <w:tr>
        <w:trPr>
          <w:cantSplit/>
        </w:trPr>
        <w:tc>
          <w:tcPr>
            <w:tcW w:type="dxa" w:w="1670"/>
            <w:tcMar>
              <w:top w:w="40" w:type="dxa"/>
              <w:start w:w="50" w:type="dxa"/>
              <w:bottom w:w="40" w:type="dxa"/>
              <w:end w:w="50" w:type="dxa"/>
            </w:tcMar>
            <w:shd w:fill="EAF0F4"/>
            <w:tcBorders>
              <w:bottom w:sz="3" w:val="single" w:color="B8C4CC"/>
            </w:tcBorders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color w:val="183B56"/>
                <w:sz w:val="14"/>
              </w:rPr>
              <w:t>PREVAILING VIEW</w:t>
            </w:r>
          </w:p>
        </w:tc>
        <w:tc>
          <w:tcPr>
            <w:tcW w:type="dxa" w:w="8568"/>
            <w:tcMar>
              <w:top w:w="40" w:type="dxa"/>
              <w:start w:w="50" w:type="dxa"/>
              <w:bottom w:w="40" w:type="dxa"/>
              <w:end w:w="50" w:type="dxa"/>
            </w:tcMar>
            <w:tcBorders>
              <w:bottom w:sz="3" w:val="single" w:color="B8C4CC"/>
            </w:tcBorders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Record orders are an AI-cycle pull-forward. Hiring, supplier bottlenecks and foreign exchange will delay margin recovery, while VAT's premium valuation already discounts the 2027 wafer-fab-equipment upcycle.</w:t>
            </w:r>
          </w:p>
        </w:tc>
      </w:tr>
      <w:tr>
        <w:trPr>
          <w:cantSplit/>
        </w:trPr>
        <w:tc>
          <w:tcPr>
            <w:tcW w:type="dxa" w:w="1670"/>
            <w:tcMar>
              <w:top w:w="40" w:type="dxa"/>
              <w:start w:w="50" w:type="dxa"/>
              <w:bottom w:w="40" w:type="dxa"/>
              <w:end w:w="50" w:type="dxa"/>
            </w:tcMar>
            <w:shd w:fill="EAF0F4"/>
            <w:tcBorders>
              <w:bottom w:sz="3" w:val="single" w:color="B8C4CC"/>
            </w:tcBorders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color w:val="183B56"/>
                <w:sz w:val="14"/>
              </w:rPr>
              <w:t>OUR VIEW</w:t>
            </w:r>
          </w:p>
        </w:tc>
        <w:tc>
          <w:tcPr>
            <w:tcW w:type="dxa" w:w="8568"/>
            <w:tcMar>
              <w:top w:w="40" w:type="dxa"/>
              <w:start w:w="50" w:type="dxa"/>
              <w:bottom w:w="40" w:type="dxa"/>
              <w:end w:w="50" w:type="dxa"/>
            </w:tcMar>
            <w:tcBorders>
              <w:bottom w:sz="3" w:val="single" w:color="B8C4CC"/>
            </w:tcBorders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Orders are leading revenue by 6-12 months. The constraint is output, not demand. Management is lifting factory run-rate by &gt;40% from the June exit level to &gt;CHF 450m per quarter by year-end - an annualized revenue base above CHF 1.8bn before further 2027 productivity.</w:t>
            </w:r>
          </w:p>
        </w:tc>
      </w:tr>
      <w:tr>
        <w:trPr>
          <w:cantSplit/>
        </w:trPr>
        <w:tc>
          <w:tcPr>
            <w:tcW w:type="dxa" w:w="1670"/>
            <w:tcMar>
              <w:top w:w="40" w:type="dxa"/>
              <w:start w:w="50" w:type="dxa"/>
              <w:bottom w:w="40" w:type="dxa"/>
              <w:end w:w="50" w:type="dxa"/>
            </w:tcMar>
            <w:shd w:fill="EAF0F4"/>
            <w:tcBorders>
              <w:bottom w:sz="3" w:val="single" w:color="B8C4CC"/>
            </w:tcBorders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color w:val="183B56"/>
                <w:sz w:val="14"/>
              </w:rPr>
              <w:t>WHY DIFFERENT</w:t>
            </w:r>
          </w:p>
        </w:tc>
        <w:tc>
          <w:tcPr>
            <w:tcW w:type="dxa" w:w="8568"/>
            <w:tcMar>
              <w:top w:w="40" w:type="dxa"/>
              <w:start w:w="50" w:type="dxa"/>
              <w:bottom w:w="40" w:type="dxa"/>
              <w:end w:w="50" w:type="dxa"/>
            </w:tcMar>
            <w:tcBorders>
              <w:bottom w:sz="3" w:val="single" w:color="B8C4CC"/>
            </w:tcBorders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Consensus extrapolates H1's 29% margin and underestimates conversion. Q2 orders were CHF 500m, backlog reached CHF 648m, Q3 sales guidance is CHF 355-385m, and Global Service grew 16.5% at a 47.2% margin. Our 2027 revenue/EBITDA are 16%/19% above consensus.</w:t>
            </w:r>
          </w:p>
        </w:tc>
      </w:tr>
    </w:tbl>
    <w:p>
      <w:pPr>
        <w:keepNext/>
        <w:keepLines/>
        <w:spacing w:before="40" w:after="20" w:line="240" w:lineRule="auto"/>
        <w:pBdr>
          <w:bottom w:val="single" w:sz="8" w:space="1" w:color="4E7896"/>
        </w:pBdr>
      </w:pPr>
      <w:r>
        <w:rPr>
          <w:rFonts w:ascii="Arial" w:hAnsi="Arial" w:eastAsia="Arial"/>
          <w:b/>
          <w:i w:val="0"/>
          <w:color w:val="183B56"/>
          <w:sz w:val="18"/>
        </w:rPr>
        <w:t>3. MARKET SENTIMENT AND SETUP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43"/>
        <w:gridCol w:w="5443"/>
      </w:tblGrid>
      <w:tr>
        <w:trPr>
          <w:cantSplit/>
        </w:trPr>
        <w:tc>
          <w:tcPr>
            <w:tcW w:type="dxa" w:w="5112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i w:val="0"/>
                <w:color w:val="183B56"/>
                <w:sz w:val="16"/>
              </w:rPr>
              <w:t xml:space="preserve">Price / setup. </w:t>
            </w: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The shares fell 8% on 22 July and now sit c.17% below the July high despite record orders. Investors are focused on H1 sales -8%, a 29% margin and CHF 42m free cash flow; these are lagging indicators during a capacity catch-up.</w:t>
              <w:br/>
            </w:r>
            <w:r>
              <w:rPr>
                <w:rFonts w:ascii="Arial" w:hAnsi="Arial"/>
                <w:b/>
                <w:i w:val="0"/>
                <w:color w:val="183B56"/>
                <w:sz w:val="16"/>
              </w:rPr>
              <w:t xml:space="preserve">Valuation. </w:t>
            </w: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Spot is c.32.7x 2027 consensus EBITDA and 45x P/E - expensive versus peers, but only c.25.6x/36x on our estimates. The target assumes 33.5x EBITDA: upside is primarily earnings revisions, not a heroic rerating.</w:t>
            </w:r>
          </w:p>
        </w:tc>
        <w:tc>
          <w:tcPr>
            <w:tcW w:type="dxa" w:w="5112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i w:val="0"/>
                <w:color w:val="183B56"/>
                <w:sz w:val="16"/>
              </w:rPr>
              <w:t xml:space="preserve">Consensus. </w:t>
            </w: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Public estimates are CHF 1.29bn/CHF 430m revenue/EBITDA in 2026 and CHF 1.64bn/CHF 589m in 2027. Our 2027 estimates are CHF 1.90bn/CHF 703m.</w:t>
              <w:br/>
            </w:r>
            <w:r>
              <w:rPr>
                <w:rFonts w:ascii="Arial" w:hAnsi="Arial"/>
                <w:b/>
                <w:i w:val="0"/>
                <w:color w:val="183B56"/>
                <w:sz w:val="16"/>
              </w:rPr>
              <w:t xml:space="preserve">Sentiment / timing. </w:t>
            </w: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The post-results de-rating reset the entry point before backlog conversion becomes visible. The next formal proof point is the Q3 trading update on 15 October.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86"/>
      </w:tblGrid>
      <w:tr>
        <w:trPr>
          <w:cantSplit/>
        </w:trPr>
        <w:tc>
          <w:tcPr>
            <w:tcW w:type="dxa" w:w="10886"/>
            <w:shd w:fill="F5F7F8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sz="6" w:val="single" w:color="4E7896"/>
              <w:left w:sz="6" w:val="single" w:color="4E7896"/>
              <w:bottom w:sz="6" w:val="single" w:color="4E7896"/>
              <w:right w:sz="6" w:val="single" w:color="4E7896"/>
            </w:tcBorders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i w:val="0"/>
                <w:color w:val="183B56"/>
                <w:sz w:val="14"/>
              </w:rPr>
              <w:t>BUSINESS / VALUE CHAIN / MOAT IN 90 SECONDS</w:t>
              <w:br/>
            </w:r>
            <w:r>
              <w:rPr>
                <w:rFonts w:ascii="Arial" w:hAnsi="Arial"/>
                <w:b/>
                <w:i w:val="0"/>
                <w:color w:val="111111"/>
                <w:sz w:val="15"/>
              </w:rPr>
              <w:t xml:space="preserve">What it makes: </w:t>
            </w:r>
            <w:r>
              <w:rPr>
                <w:rFonts w:ascii="Arial" w:hAnsi="Arial"/>
                <w:b w:val="0"/>
                <w:i w:val="0"/>
                <w:color w:val="111111"/>
                <w:sz w:val="15"/>
              </w:rPr>
              <w:t xml:space="preserve">precision valves and modules that control pressure, isolate process chambers and move wafers inside semiconductor tools. </w:t>
            </w:r>
            <w:r>
              <w:rPr>
                <w:rFonts w:ascii="Arial" w:hAnsi="Arial"/>
                <w:b/>
                <w:i w:val="0"/>
                <w:color w:val="111111"/>
                <w:sz w:val="15"/>
              </w:rPr>
              <w:t xml:space="preserve">Why vacuum matters: </w:t>
            </w:r>
            <w:r>
              <w:rPr>
                <w:rFonts w:ascii="Arial" w:hAnsi="Arial"/>
                <w:b w:val="0"/>
                <w:i w:val="0"/>
                <w:color w:val="111111"/>
                <w:sz w:val="15"/>
              </w:rPr>
              <w:t xml:space="preserve">deposition and etch require stable pressure, controlled gases and near-zero particles; a valve failure can destroy yield. </w:t>
            </w:r>
            <w:r>
              <w:rPr>
                <w:rFonts w:ascii="Arial" w:hAnsi="Arial"/>
                <w:b/>
                <w:i w:val="0"/>
                <w:color w:val="111111"/>
                <w:sz w:val="15"/>
              </w:rPr>
              <w:t xml:space="preserve">Where VAT sits: </w:t>
            </w:r>
            <w:r>
              <w:rPr>
                <w:rFonts w:ascii="Arial" w:hAnsi="Arial"/>
                <w:b w:val="0"/>
                <w:i w:val="0"/>
                <w:color w:val="111111"/>
                <w:sz w:val="15"/>
              </w:rPr>
              <w:t xml:space="preserve">TSMC/Samsung/Micron/SK Hynix buy tools from ASML/Applied/Lam/TEL/KLA; VAT is the qualified subsystem supplier inside those tools. </w:t>
            </w:r>
            <w:r>
              <w:rPr>
                <w:rFonts w:ascii="Arial" w:hAnsi="Arial"/>
                <w:b/>
                <w:i w:val="0"/>
                <w:color w:val="111111"/>
                <w:sz w:val="15"/>
              </w:rPr>
              <w:t xml:space="preserve">Moat: </w:t>
            </w:r>
            <w:r>
              <w:rPr>
                <w:rFonts w:ascii="Arial" w:hAnsi="Arial"/>
                <w:b w:val="0"/>
                <w:i w:val="0"/>
                <w:color w:val="111111"/>
                <w:sz w:val="15"/>
              </w:rPr>
              <w:t xml:space="preserve">c.71% semiconductor-related share, &gt;90% in selected leading-edge applications, multi-year qualification and an installed base that drives service. </w:t>
            </w:r>
            <w:r>
              <w:rPr>
                <w:rFonts w:ascii="Arial" w:hAnsi="Arial"/>
                <w:b/>
                <w:i w:val="0"/>
                <w:color w:val="111111"/>
                <w:sz w:val="15"/>
              </w:rPr>
              <w:t xml:space="preserve">Growth algorithm: </w:t>
            </w:r>
            <w:r>
              <w:rPr>
                <w:rFonts w:ascii="Arial" w:hAnsi="Arial"/>
                <w:b w:val="0"/>
                <w:i w:val="0"/>
                <w:color w:val="111111"/>
                <w:sz w:val="15"/>
              </w:rPr>
              <w:t>WFE x vacuum intensity x VAT content/share + aftermarket revenue. Advanced logic, gate-all-around, high-bandwidth memory and advanced packaging raise chamber and valve content.</w:t>
            </w:r>
          </w:p>
        </w:tc>
      </w:tr>
    </w:tbl>
    <w:p>
      <w:pPr>
        <w:spacing w:before="20" w:after="0" w:line="228" w:lineRule="auto"/>
      </w:pPr>
      <w:r>
        <w:rPr>
          <w:rFonts w:ascii="Arial" w:hAnsi="Arial"/>
          <w:b w:val="0"/>
          <w:i w:val="0"/>
          <w:color w:val="6B7780"/>
          <w:sz w:val="11"/>
        </w:rPr>
        <w:t>Sources: VAT FY2025 results and Annual Report; VAT H1 2026 report and presentation; uploaded stock-pitch deck; MarketScreener consensus and peer valuation snapshots; SIX/LSEG price in uploaded deck; analyst estimates. [R] reported, [G] guidance, [C] consensus, [A] analyst estimate, [I] inference.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Arial" w:hAnsi="Arial" w:eastAsia="Arial"/>
          <w:b/>
          <w:i w:val="0"/>
          <w:color w:val="183B56"/>
          <w:sz w:val="22"/>
        </w:rPr>
        <w:t>VAT GROUP AG - CATALYSTS, RISKS AND EVENT PATH</w:t>
      </w:r>
      <w:r>
        <w:rPr>
          <w:rFonts w:ascii="Arial" w:hAnsi="Arial" w:eastAsia="Arial"/>
          <w:b/>
          <w:i w:val="0"/>
          <w:color w:val="2E6E5A"/>
          <w:sz w:val="16"/>
        </w:rPr>
        <w:t xml:space="preserve">  |  BUY / CHF 785 TP</w:t>
      </w:r>
    </w:p>
    <w:p>
      <w:pPr>
        <w:keepNext/>
        <w:keepLines/>
        <w:spacing w:before="40" w:after="20" w:line="240" w:lineRule="auto"/>
        <w:pBdr>
          <w:bottom w:val="single" w:sz="8" w:space="1" w:color="4E7896"/>
        </w:pBdr>
      </w:pPr>
      <w:r>
        <w:rPr>
          <w:rFonts w:ascii="Arial" w:hAnsi="Arial" w:eastAsia="Arial"/>
          <w:b/>
          <w:i w:val="0"/>
          <w:color w:val="183B56"/>
          <w:sz w:val="18"/>
        </w:rPr>
        <w:t>4. CATALYSTS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2721"/>
        <w:gridCol w:w="2721"/>
        <w:gridCol w:w="2721"/>
      </w:tblGrid>
      <w:tr>
        <w:trPr>
          <w:cantSplit/>
        </w:trPr>
        <w:tc>
          <w:tcPr>
            <w:tcW w:type="dxa" w:w="1468"/>
            <w:shd w:fill="183B56"/>
            <w:tcMar>
              <w:top w:w="40" w:type="dxa"/>
              <w:start w:w="50" w:type="dxa"/>
              <w:bottom w:w="40" w:type="dxa"/>
              <w:end w:w="50" w:type="dxa"/>
            </w:tcMar>
            <w:tcBorders>
              <w:bottom w:sz="4" w:val="single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DATE / EVENT</w:t>
            </w:r>
          </w:p>
        </w:tc>
        <w:tc>
          <w:tcPr>
            <w:tcW w:type="dxa" w:w="3484"/>
            <w:shd w:fill="183B56"/>
            <w:tcMar>
              <w:top w:w="40" w:type="dxa"/>
              <w:start w:w="50" w:type="dxa"/>
              <w:bottom w:w="40" w:type="dxa"/>
              <w:end w:w="50" w:type="dxa"/>
            </w:tcMar>
            <w:tcBorders>
              <w:bottom w:sz="4" w:val="single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WHAT CHANGES</w:t>
            </w:r>
          </w:p>
        </w:tc>
        <w:tc>
          <w:tcPr>
            <w:tcW w:type="dxa" w:w="3196"/>
            <w:shd w:fill="183B56"/>
            <w:tcMar>
              <w:top w:w="40" w:type="dxa"/>
              <w:start w:w="50" w:type="dxa"/>
              <w:bottom w:w="40" w:type="dxa"/>
              <w:end w:w="50" w:type="dxa"/>
            </w:tcMar>
            <w:tcBorders>
              <w:bottom w:sz="4" w:val="single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BULLISH READ-THROUGH</w:t>
            </w:r>
          </w:p>
        </w:tc>
        <w:tc>
          <w:tcPr>
            <w:tcW w:type="dxa" w:w="2131"/>
            <w:shd w:fill="183B56"/>
            <w:tcMar>
              <w:top w:w="40" w:type="dxa"/>
              <w:start w:w="50" w:type="dxa"/>
              <w:bottom w:w="40" w:type="dxa"/>
              <w:end w:w="50" w:type="dxa"/>
            </w:tcMar>
            <w:tcBorders>
              <w:bottom w:sz="4" w:val="single" w:color="FFFFFF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BEARISH READ-THROUGH</w:t>
            </w:r>
          </w:p>
        </w:tc>
      </w:tr>
      <w:tr>
        <w:trPr>
          <w:cantSplit/>
          <w:cantSplit/>
        </w:trPr>
        <w:tc>
          <w:tcPr>
            <w:tcW w:type="dxa" w:w="1468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3" w:val="single" w:color="B8C4CC"/>
            </w:tcBorders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color w:val="183B56"/>
                <w:sz w:val="14"/>
              </w:rPr>
              <w:t>15 Oct 2026</w:t>
              <w:br/>
              <w:t>Q3 update</w:t>
            </w:r>
          </w:p>
        </w:tc>
        <w:tc>
          <w:tcPr>
            <w:tcW w:type="dxa" w:w="3484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3" w:val="single" w:color="B8C4CC"/>
            </w:tcBorders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Sales vs CHF 355-385m guide; orders, book-to-bill, backlog, margin and working capital.</w:t>
            </w:r>
          </w:p>
        </w:tc>
        <w:tc>
          <w:tcPr>
            <w:tcW w:type="dxa" w:w="3196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3" w:val="single" w:color="B8C4CC"/>
            </w:tcBorders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Sales above CHF 385m, orders above CHF 400m, book-to-bill &gt;1.0x and margin &gt;33% force FY26/27 upgrades.</w:t>
            </w:r>
          </w:p>
        </w:tc>
        <w:tc>
          <w:tcPr>
            <w:tcW w:type="dxa" w:w="2131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3" w:val="single" w:color="B8C4CC"/>
            </w:tcBorders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Sales below CHF 355m, book-to-bill &lt;1.0x or margin below 30% questions backlog conversion.</w:t>
            </w:r>
          </w:p>
        </w:tc>
      </w:tr>
      <w:tr>
        <w:trPr>
          <w:cantSplit/>
          <w:cantSplit/>
        </w:trPr>
        <w:tc>
          <w:tcPr>
            <w:tcW w:type="dxa" w:w="1468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3" w:val="single" w:color="B8C4CC"/>
            </w:tcBorders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color w:val="183B56"/>
                <w:sz w:val="14"/>
              </w:rPr>
              <w:t>Oct-Nov</w:t>
              <w:br/>
              <w:t>OEM / fab Q3</w:t>
            </w:r>
          </w:p>
        </w:tc>
        <w:tc>
          <w:tcPr>
            <w:tcW w:type="dxa" w:w="3484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3" w:val="single" w:color="B8C4CC"/>
            </w:tcBorders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TSMC, Samsung, Micron and SK Hynix capex; ASML, AMAT, Lam, TEL and KLA 2027 outlooks.</w:t>
            </w:r>
          </w:p>
        </w:tc>
        <w:tc>
          <w:tcPr>
            <w:tcW w:type="dxa" w:w="3196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3" w:val="single" w:color="B8C4CC"/>
            </w:tcBorders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2027 WFE holds near USD 180bn; leading-edge logic and HBM budgets rise; OEM capacity plans move up.</w:t>
            </w:r>
          </w:p>
        </w:tc>
        <w:tc>
          <w:tcPr>
            <w:tcW w:type="dxa" w:w="2131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3" w:val="single" w:color="B8C4CC"/>
            </w:tcBorders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AI capacity digestion, fab delays or export restrictions reduce tool demand visibility.</w:t>
            </w:r>
          </w:p>
        </w:tc>
      </w:tr>
      <w:tr>
        <w:trPr>
          <w:cantSplit/>
          <w:cantSplit/>
        </w:trPr>
        <w:tc>
          <w:tcPr>
            <w:tcW w:type="dxa" w:w="1468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3" w:val="single" w:color="B8C4CC"/>
            </w:tcBorders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color w:val="183B56"/>
                <w:sz w:val="14"/>
              </w:rPr>
              <w:t>4Q26</w:t>
              <w:br/>
              <w:t>Capacity milestone</w:t>
            </w:r>
          </w:p>
        </w:tc>
        <w:tc>
          <w:tcPr>
            <w:tcW w:type="dxa" w:w="3484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3" w:val="single" w:color="B8C4CC"/>
            </w:tcBorders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Quarterly factory run-rate versus management's &gt;CHF 450m exit target.</w:t>
            </w:r>
          </w:p>
        </w:tc>
        <w:tc>
          <w:tcPr>
            <w:tcW w:type="dxa" w:w="3196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3" w:val="single" w:color="B8C4CC"/>
            </w:tcBorders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Target reached without expedite costs, supplier shortages or quality issues; annualized output exceeds CHF 1.8bn.</w:t>
            </w:r>
          </w:p>
        </w:tc>
        <w:tc>
          <w:tcPr>
            <w:tcW w:type="dxa" w:w="2131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3" w:val="single" w:color="B8C4CC"/>
            </w:tcBorders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Temporary-labour ramp creates yield, delivery or cost slippage; output remains below CHF 400m.</w:t>
            </w:r>
          </w:p>
        </w:tc>
      </w:tr>
      <w:tr>
        <w:trPr>
          <w:cantSplit/>
          <w:cantSplit/>
        </w:trPr>
        <w:tc>
          <w:tcPr>
            <w:tcW w:type="dxa" w:w="1468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3" w:val="single" w:color="B8C4CC"/>
            </w:tcBorders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color w:val="183B56"/>
                <w:sz w:val="14"/>
              </w:rPr>
              <w:t>2 Mar 2027</w:t>
              <w:br/>
              <w:t>FY26 results</w:t>
            </w:r>
          </w:p>
        </w:tc>
        <w:tc>
          <w:tcPr>
            <w:tcW w:type="dxa" w:w="3484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3" w:val="single" w:color="B8C4CC"/>
            </w:tcBorders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Formal 2027 guidance, backlog quality, margin bridge, free cash flow and Atonarp integration.</w:t>
            </w:r>
          </w:p>
        </w:tc>
        <w:tc>
          <w:tcPr>
            <w:tcW w:type="dxa" w:w="3196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3" w:val="single" w:color="B8C4CC"/>
            </w:tcBorders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2027 sales guide &gt;CHF 1.8bn and EBITDA margin &gt;35%; strong order coverage supports our estimates.</w:t>
            </w:r>
          </w:p>
        </w:tc>
        <w:tc>
          <w:tcPr>
            <w:tcW w:type="dxa" w:w="2131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3" w:val="single" w:color="B8C4CC"/>
            </w:tcBorders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Guide below CHF 1.7bn, backlog cancellations or a slower margin recovery break the thesis.</w:t>
            </w:r>
          </w:p>
        </w:tc>
      </w:tr>
    </w:tbl>
    <w:p>
      <w:pPr>
        <w:keepNext/>
        <w:keepLines/>
        <w:spacing w:before="40" w:after="20" w:line="240" w:lineRule="auto"/>
        <w:pBdr>
          <w:bottom w:val="single" w:sz="8" w:space="1" w:color="4E7896"/>
        </w:pBdr>
      </w:pPr>
      <w:r>
        <w:rPr>
          <w:rFonts w:ascii="Arial" w:hAnsi="Arial" w:eastAsia="Arial"/>
          <w:b/>
          <w:i w:val="0"/>
          <w:color w:val="183B56"/>
          <w:sz w:val="18"/>
        </w:rPr>
        <w:t>5. RISKS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43"/>
        <w:gridCol w:w="5443"/>
      </w:tblGrid>
      <w:tr>
        <w:trPr>
          <w:cantSplit/>
        </w:trPr>
        <w:tc>
          <w:tcPr>
            <w:tcW w:type="dxa" w:w="5112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3" w:val="single" w:color="B8C4CC"/>
              <w:right w:sz="3" w:val="single" w:color="B8C4CC"/>
            </w:tcBorders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i w:val="0"/>
                <w:color w:val="A23E48"/>
                <w:sz w:val="15"/>
              </w:rPr>
              <w:t>1. WFE / AI-capex rollover</w:t>
              <w:br/>
            </w:r>
            <w:r>
              <w:rPr>
                <w:rFonts w:ascii="Arial" w:hAnsi="Arial"/>
                <w:b w:val="0"/>
                <w:i w:val="0"/>
                <w:color w:val="111111"/>
                <w:sz w:val="14"/>
              </w:rPr>
              <w:t>The base case assumes 2027 WFE remains near USD 170-180bn. A hyperscaler or memory-capex reset would hit orders and the multiple together.</w:t>
            </w:r>
          </w:p>
        </w:tc>
        <w:tc>
          <w:tcPr>
            <w:tcW w:type="dxa" w:w="5112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3" w:val="single" w:color="B8C4CC"/>
              <w:right w:sz="3" w:val="single" w:color="B8C4CC"/>
            </w:tcBorders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i w:val="0"/>
                <w:color w:val="A23E48"/>
                <w:sz w:val="15"/>
              </w:rPr>
              <w:t>2. Double ordering / cancellations</w:t>
              <w:br/>
            </w:r>
            <w:r>
              <w:rPr>
                <w:rFonts w:ascii="Arial" w:hAnsi="Arial"/>
                <w:b w:val="0"/>
                <w:i w:val="0"/>
                <w:color w:val="111111"/>
                <w:sz w:val="14"/>
              </w:rPr>
              <w:t>CHF 648m backlog is valuable only if clean. Long lead times or customer capacity reservations could create duplicate orders that disappear as supply improves.</w:t>
            </w:r>
          </w:p>
        </w:tc>
      </w:tr>
      <w:tr>
        <w:trPr>
          <w:cantSplit/>
        </w:trPr>
        <w:tc>
          <w:tcPr>
            <w:tcW w:type="dxa" w:w="5112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3" w:val="single" w:color="B8C4CC"/>
              <w:right w:sz="3" w:val="single" w:color="B8C4CC"/>
            </w:tcBorders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i w:val="0"/>
                <w:color w:val="A23E48"/>
                <w:sz w:val="15"/>
              </w:rPr>
              <w:t>3. Capacity-ramp execution</w:t>
              <w:br/>
            </w:r>
            <w:r>
              <w:rPr>
                <w:rFonts w:ascii="Arial" w:hAnsi="Arial"/>
                <w:b w:val="0"/>
                <w:i w:val="0"/>
                <w:color w:val="111111"/>
                <w:sz w:val="14"/>
              </w:rPr>
              <w:t>VAT added more than 700 employees in H1. Supplier qualification, training, yield or quality failures would delay shipments and dilute operating leverage.</w:t>
            </w:r>
          </w:p>
        </w:tc>
        <w:tc>
          <w:tcPr>
            <w:tcW w:type="dxa" w:w="5112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3" w:val="single" w:color="B8C4CC"/>
              <w:right w:sz="3" w:val="single" w:color="B8C4CC"/>
            </w:tcBorders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i w:val="0"/>
                <w:color w:val="A23E48"/>
                <w:sz w:val="15"/>
              </w:rPr>
              <w:t>4. China / export controls</w:t>
              <w:br/>
            </w:r>
            <w:r>
              <w:rPr>
                <w:rFonts w:ascii="Arial" w:hAnsi="Arial"/>
                <w:b w:val="0"/>
                <w:i w:val="0"/>
                <w:color w:val="111111"/>
                <w:sz w:val="14"/>
              </w:rPr>
              <w:t>Direct China exposure remains material. Restrictions can change tool mix, strand inventory or accelerate local sourcing at mature nodes.</w:t>
            </w:r>
          </w:p>
        </w:tc>
      </w:tr>
      <w:tr>
        <w:trPr>
          <w:cantSplit/>
        </w:trPr>
        <w:tc>
          <w:tcPr>
            <w:tcW w:type="dxa" w:w="5112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3" w:val="single" w:color="B8C4CC"/>
              <w:right w:sz="3" w:val="single" w:color="B8C4CC"/>
            </w:tcBorders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i w:val="0"/>
                <w:color w:val="A23E48"/>
                <w:sz w:val="15"/>
              </w:rPr>
              <w:t>5. Customer concentration / second source</w:t>
              <w:br/>
            </w:r>
            <w:r>
              <w:rPr>
                <w:rFonts w:ascii="Arial" w:hAnsi="Arial"/>
                <w:b w:val="0"/>
                <w:i w:val="0"/>
                <w:color w:val="111111"/>
                <w:sz w:val="14"/>
              </w:rPr>
              <w:t>A small number of equipment OEMs drive demand. A second-source qualification or customer insourcing would pressure share and pricing.</w:t>
            </w:r>
          </w:p>
        </w:tc>
        <w:tc>
          <w:tcPr>
            <w:tcW w:type="dxa" w:w="5112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3" w:val="single" w:color="B8C4CC"/>
              <w:right w:sz="3" w:val="single" w:color="B8C4CC"/>
            </w:tcBorders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i w:val="0"/>
                <w:color w:val="A23E48"/>
                <w:sz w:val="15"/>
              </w:rPr>
              <w:t>6. Valuation / FX / Atonarp</w:t>
              <w:br/>
            </w:r>
            <w:r>
              <w:rPr>
                <w:rFonts w:ascii="Arial" w:hAnsi="Arial"/>
                <w:b w:val="0"/>
                <w:i w:val="0"/>
                <w:color w:val="111111"/>
                <w:sz w:val="14"/>
              </w:rPr>
              <w:t>VAT remains a high-multiple stock. A stronger CHF, slower estimate revisions or losses at the CHF 110m Atonarp acquisition could compress the premium.</w:t>
            </w:r>
          </w:p>
        </w:tc>
      </w:tr>
    </w:tbl>
    <w:p>
      <w:pPr>
        <w:keepNext/>
        <w:keepLines/>
        <w:spacing w:before="40" w:after="20" w:line="240" w:lineRule="auto"/>
        <w:pBdr>
          <w:bottom w:val="single" w:sz="8" w:space="1" w:color="4E7896"/>
        </w:pBdr>
      </w:pPr>
      <w:r>
        <w:rPr>
          <w:rFonts w:ascii="Arial" w:hAnsi="Arial" w:eastAsia="Arial"/>
          <w:b/>
          <w:i w:val="0"/>
          <w:color w:val="183B56"/>
          <w:sz w:val="18"/>
        </w:rPr>
        <w:t>6. RISK / REWARD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1361"/>
        <w:gridCol w:w="1361"/>
        <w:gridCol w:w="1361"/>
        <w:gridCol w:w="1361"/>
        <w:gridCol w:w="1361"/>
        <w:gridCol w:w="1361"/>
        <w:gridCol w:w="1361"/>
      </w:tblGrid>
      <w:tr>
        <w:trPr>
          <w:cantSplit/>
        </w:trPr>
        <w:tc>
          <w:tcPr>
            <w:tcW w:type="dxa" w:w="950"/>
            <w:shd w:fill="183B56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2"/>
              </w:rPr>
              <w:t>CASE</w:t>
            </w:r>
          </w:p>
        </w:tc>
        <w:tc>
          <w:tcPr>
            <w:tcW w:type="dxa" w:w="1036"/>
            <w:shd w:fill="183B56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2"/>
              </w:rPr>
              <w:t>2027 REV.</w:t>
              <w:br/>
              <w:t>CHF m</w:t>
            </w:r>
          </w:p>
        </w:tc>
        <w:tc>
          <w:tcPr>
            <w:tcW w:type="dxa" w:w="892"/>
            <w:shd w:fill="183B56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2"/>
              </w:rPr>
              <w:t>EBITDA</w:t>
              <w:br/>
              <w:t>MARGIN</w:t>
            </w:r>
          </w:p>
        </w:tc>
        <w:tc>
          <w:tcPr>
            <w:tcW w:type="dxa" w:w="1007"/>
            <w:shd w:fill="183B56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2"/>
              </w:rPr>
              <w:t>EBITDA</w:t>
              <w:br/>
              <w:t>CHF m</w:t>
            </w:r>
          </w:p>
        </w:tc>
        <w:tc>
          <w:tcPr>
            <w:tcW w:type="dxa" w:w="892"/>
            <w:shd w:fill="183B56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2"/>
              </w:rPr>
              <w:t>EV/EBITDA</w:t>
            </w:r>
          </w:p>
        </w:tc>
        <w:tc>
          <w:tcPr>
            <w:tcW w:type="dxa" w:w="835"/>
            <w:shd w:fill="183B56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2"/>
              </w:rPr>
              <w:t>TP</w:t>
              <w:br/>
              <w:t>CHF</w:t>
            </w:r>
          </w:p>
        </w:tc>
        <w:tc>
          <w:tcPr>
            <w:tcW w:type="dxa" w:w="792"/>
            <w:shd w:fill="183B56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2"/>
              </w:rPr>
              <w:t>RETURN</w:t>
            </w:r>
          </w:p>
        </w:tc>
        <w:tc>
          <w:tcPr>
            <w:tcW w:type="dxa" w:w="1036"/>
            <w:shd w:fill="183B56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2"/>
              </w:rPr>
              <w:t>PROB.</w:t>
            </w:r>
          </w:p>
        </w:tc>
      </w:tr>
      <w:tr>
        <w:trPr>
          <w:cantSplit/>
        </w:trPr>
        <w:tc>
          <w:tcPr>
            <w:tcW w:type="dxa" w:w="950"/>
            <w:shd w:fill="FFFFFF"/>
            <w:tcMar>
              <w:top w:w="40" w:type="dxa"/>
              <w:start w:w="50" w:type="dxa"/>
              <w:bottom w:w="40" w:type="dxa"/>
              <w:end w:w="50" w:type="dxa"/>
            </w:tcMar>
            <w:tcBorders>
              <w:bottom w:sz="3" w:val="single" w:color="B8C4CC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color w:val="A23E48"/>
                <w:sz w:val="14"/>
              </w:rPr>
              <w:t>Bear</w:t>
            </w:r>
          </w:p>
        </w:tc>
        <w:tc>
          <w:tcPr>
            <w:tcW w:type="dxa" w:w="1036"/>
            <w:shd w:fill="FFFFFF"/>
            <w:tcMar>
              <w:top w:w="40" w:type="dxa"/>
              <w:start w:w="50" w:type="dxa"/>
              <w:bottom w:w="40" w:type="dxa"/>
              <w:end w:w="50" w:type="dxa"/>
            </w:tcMar>
            <w:tcBorders>
              <w:bottom w:sz="3" w:val="single" w:color="B8C4CC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1,550</w:t>
            </w:r>
          </w:p>
        </w:tc>
        <w:tc>
          <w:tcPr>
            <w:tcW w:type="dxa" w:w="892"/>
            <w:shd w:fill="FFFFFF"/>
            <w:tcMar>
              <w:top w:w="40" w:type="dxa"/>
              <w:start w:w="50" w:type="dxa"/>
              <w:bottom w:w="40" w:type="dxa"/>
              <w:end w:w="50" w:type="dxa"/>
            </w:tcMar>
            <w:tcBorders>
              <w:bottom w:sz="3" w:val="single" w:color="B8C4CC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31.0%</w:t>
            </w:r>
          </w:p>
        </w:tc>
        <w:tc>
          <w:tcPr>
            <w:tcW w:type="dxa" w:w="1007"/>
            <w:shd w:fill="FFFFFF"/>
            <w:tcMar>
              <w:top w:w="40" w:type="dxa"/>
              <w:start w:w="50" w:type="dxa"/>
              <w:bottom w:w="40" w:type="dxa"/>
              <w:end w:w="50" w:type="dxa"/>
            </w:tcMar>
            <w:tcBorders>
              <w:bottom w:sz="3" w:val="single" w:color="B8C4CC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481</w:t>
            </w:r>
          </w:p>
        </w:tc>
        <w:tc>
          <w:tcPr>
            <w:tcW w:type="dxa" w:w="892"/>
            <w:shd w:fill="FFFFFF"/>
            <w:tcMar>
              <w:top w:w="40" w:type="dxa"/>
              <w:start w:w="50" w:type="dxa"/>
              <w:bottom w:w="40" w:type="dxa"/>
              <w:end w:w="50" w:type="dxa"/>
            </w:tcMar>
            <w:tcBorders>
              <w:bottom w:sz="3" w:val="single" w:color="B8C4CC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26x</w:t>
            </w:r>
          </w:p>
        </w:tc>
        <w:tc>
          <w:tcPr>
            <w:tcW w:type="dxa" w:w="835"/>
            <w:shd w:fill="FFFFFF"/>
            <w:tcMar>
              <w:top w:w="40" w:type="dxa"/>
              <w:start w:w="50" w:type="dxa"/>
              <w:bottom w:w="40" w:type="dxa"/>
              <w:end w:w="50" w:type="dxa"/>
            </w:tcMar>
            <w:tcBorders>
              <w:bottom w:sz="3" w:val="single" w:color="B8C4CC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color w:val="A23E48"/>
                <w:sz w:val="14"/>
              </w:rPr>
              <w:t>420</w:t>
            </w:r>
          </w:p>
        </w:tc>
        <w:tc>
          <w:tcPr>
            <w:tcW w:type="dxa" w:w="792"/>
            <w:shd w:fill="FFFFFF"/>
            <w:tcMar>
              <w:top w:w="40" w:type="dxa"/>
              <w:start w:w="50" w:type="dxa"/>
              <w:bottom w:w="40" w:type="dxa"/>
              <w:end w:w="50" w:type="dxa"/>
            </w:tcMar>
            <w:tcBorders>
              <w:bottom w:sz="3" w:val="single" w:color="B8C4CC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color w:val="A23E48"/>
                <w:sz w:val="14"/>
              </w:rPr>
              <w:t>-30%</w:t>
            </w:r>
          </w:p>
        </w:tc>
        <w:tc>
          <w:tcPr>
            <w:tcW w:type="dxa" w:w="1036"/>
            <w:shd w:fill="FFFFFF"/>
            <w:tcMar>
              <w:top w:w="40" w:type="dxa"/>
              <w:start w:w="50" w:type="dxa"/>
              <w:bottom w:w="40" w:type="dxa"/>
              <w:end w:w="50" w:type="dxa"/>
            </w:tcMar>
            <w:tcBorders>
              <w:bottom w:sz="3" w:val="single" w:color="B8C4CC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15%</w:t>
            </w:r>
          </w:p>
        </w:tc>
      </w:tr>
      <w:tr>
        <w:trPr>
          <w:cantSplit/>
        </w:trPr>
        <w:tc>
          <w:tcPr>
            <w:tcW w:type="dxa" w:w="950"/>
            <w:shd w:fill="EAF0F4"/>
            <w:tcMar>
              <w:top w:w="40" w:type="dxa"/>
              <w:start w:w="50" w:type="dxa"/>
              <w:bottom w:w="40" w:type="dxa"/>
              <w:end w:w="50" w:type="dxa"/>
            </w:tcMar>
            <w:tcBorders>
              <w:bottom w:sz="3" w:val="single" w:color="B8C4CC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color w:val="2E6E5A"/>
                <w:sz w:val="14"/>
              </w:rPr>
              <w:t>Base</w:t>
            </w:r>
          </w:p>
        </w:tc>
        <w:tc>
          <w:tcPr>
            <w:tcW w:type="dxa" w:w="1036"/>
            <w:shd w:fill="EAF0F4"/>
            <w:tcMar>
              <w:top w:w="40" w:type="dxa"/>
              <w:start w:w="50" w:type="dxa"/>
              <w:bottom w:w="40" w:type="dxa"/>
              <w:end w:w="50" w:type="dxa"/>
            </w:tcMar>
            <w:tcBorders>
              <w:bottom w:sz="3" w:val="single" w:color="B8C4CC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1,900</w:t>
            </w:r>
          </w:p>
        </w:tc>
        <w:tc>
          <w:tcPr>
            <w:tcW w:type="dxa" w:w="892"/>
            <w:shd w:fill="EAF0F4"/>
            <w:tcMar>
              <w:top w:w="40" w:type="dxa"/>
              <w:start w:w="50" w:type="dxa"/>
              <w:bottom w:w="40" w:type="dxa"/>
              <w:end w:w="50" w:type="dxa"/>
            </w:tcMar>
            <w:tcBorders>
              <w:bottom w:sz="3" w:val="single" w:color="B8C4CC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37.0%</w:t>
            </w:r>
          </w:p>
        </w:tc>
        <w:tc>
          <w:tcPr>
            <w:tcW w:type="dxa" w:w="1007"/>
            <w:shd w:fill="EAF0F4"/>
            <w:tcMar>
              <w:top w:w="40" w:type="dxa"/>
              <w:start w:w="50" w:type="dxa"/>
              <w:bottom w:w="40" w:type="dxa"/>
              <w:end w:w="50" w:type="dxa"/>
            </w:tcMar>
            <w:tcBorders>
              <w:bottom w:sz="3" w:val="single" w:color="B8C4CC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703</w:t>
            </w:r>
          </w:p>
        </w:tc>
        <w:tc>
          <w:tcPr>
            <w:tcW w:type="dxa" w:w="892"/>
            <w:shd w:fill="EAF0F4"/>
            <w:tcMar>
              <w:top w:w="40" w:type="dxa"/>
              <w:start w:w="50" w:type="dxa"/>
              <w:bottom w:w="40" w:type="dxa"/>
              <w:end w:w="50" w:type="dxa"/>
            </w:tcMar>
            <w:tcBorders>
              <w:bottom w:sz="3" w:val="single" w:color="B8C4CC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33.5x</w:t>
            </w:r>
          </w:p>
        </w:tc>
        <w:tc>
          <w:tcPr>
            <w:tcW w:type="dxa" w:w="835"/>
            <w:shd w:fill="EAF0F4"/>
            <w:tcMar>
              <w:top w:w="40" w:type="dxa"/>
              <w:start w:w="50" w:type="dxa"/>
              <w:bottom w:w="40" w:type="dxa"/>
              <w:end w:w="50" w:type="dxa"/>
            </w:tcMar>
            <w:tcBorders>
              <w:bottom w:sz="3" w:val="single" w:color="B8C4CC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color w:val="2E6E5A"/>
                <w:sz w:val="14"/>
              </w:rPr>
              <w:t>785</w:t>
            </w:r>
          </w:p>
        </w:tc>
        <w:tc>
          <w:tcPr>
            <w:tcW w:type="dxa" w:w="792"/>
            <w:shd w:fill="EAF0F4"/>
            <w:tcMar>
              <w:top w:w="40" w:type="dxa"/>
              <w:start w:w="50" w:type="dxa"/>
              <w:bottom w:w="40" w:type="dxa"/>
              <w:end w:w="50" w:type="dxa"/>
            </w:tcMar>
            <w:tcBorders>
              <w:bottom w:sz="3" w:val="single" w:color="B8C4CC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color w:val="2E6E5A"/>
                <w:sz w:val="14"/>
              </w:rPr>
              <w:t>+30%</w:t>
            </w:r>
          </w:p>
        </w:tc>
        <w:tc>
          <w:tcPr>
            <w:tcW w:type="dxa" w:w="1036"/>
            <w:shd w:fill="EAF0F4"/>
            <w:tcMar>
              <w:top w:w="40" w:type="dxa"/>
              <w:start w:w="50" w:type="dxa"/>
              <w:bottom w:w="40" w:type="dxa"/>
              <w:end w:w="50" w:type="dxa"/>
            </w:tcMar>
            <w:tcBorders>
              <w:bottom w:sz="3" w:val="single" w:color="B8C4CC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55%</w:t>
            </w:r>
          </w:p>
        </w:tc>
      </w:tr>
      <w:tr>
        <w:trPr>
          <w:cantSplit/>
        </w:trPr>
        <w:tc>
          <w:tcPr>
            <w:tcW w:type="dxa" w:w="950"/>
            <w:shd w:fill="FFFFFF"/>
            <w:tcMar>
              <w:top w:w="40" w:type="dxa"/>
              <w:start w:w="50" w:type="dxa"/>
              <w:bottom w:w="40" w:type="dxa"/>
              <w:end w:w="50" w:type="dxa"/>
            </w:tcMar>
            <w:tcBorders>
              <w:bottom w:sz="3" w:val="single" w:color="B8C4CC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color w:val="2E6E5A"/>
                <w:sz w:val="14"/>
              </w:rPr>
              <w:t>Bull</w:t>
            </w:r>
          </w:p>
        </w:tc>
        <w:tc>
          <w:tcPr>
            <w:tcW w:type="dxa" w:w="1036"/>
            <w:shd w:fill="FFFFFF"/>
            <w:tcMar>
              <w:top w:w="40" w:type="dxa"/>
              <w:start w:w="50" w:type="dxa"/>
              <w:bottom w:w="40" w:type="dxa"/>
              <w:end w:w="50" w:type="dxa"/>
            </w:tcMar>
            <w:tcBorders>
              <w:bottom w:sz="3" w:val="single" w:color="B8C4CC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2,100</w:t>
            </w:r>
          </w:p>
        </w:tc>
        <w:tc>
          <w:tcPr>
            <w:tcW w:type="dxa" w:w="892"/>
            <w:shd w:fill="FFFFFF"/>
            <w:tcMar>
              <w:top w:w="40" w:type="dxa"/>
              <w:start w:w="50" w:type="dxa"/>
              <w:bottom w:w="40" w:type="dxa"/>
              <w:end w:w="50" w:type="dxa"/>
            </w:tcMar>
            <w:tcBorders>
              <w:bottom w:sz="3" w:val="single" w:color="B8C4CC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38.5%</w:t>
            </w:r>
          </w:p>
        </w:tc>
        <w:tc>
          <w:tcPr>
            <w:tcW w:type="dxa" w:w="1007"/>
            <w:shd w:fill="FFFFFF"/>
            <w:tcMar>
              <w:top w:w="40" w:type="dxa"/>
              <w:start w:w="50" w:type="dxa"/>
              <w:bottom w:w="40" w:type="dxa"/>
              <w:end w:w="50" w:type="dxa"/>
            </w:tcMar>
            <w:tcBorders>
              <w:bottom w:sz="3" w:val="single" w:color="B8C4CC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809</w:t>
            </w:r>
          </w:p>
        </w:tc>
        <w:tc>
          <w:tcPr>
            <w:tcW w:type="dxa" w:w="892"/>
            <w:shd w:fill="FFFFFF"/>
            <w:tcMar>
              <w:top w:w="40" w:type="dxa"/>
              <w:start w:w="50" w:type="dxa"/>
              <w:bottom w:w="40" w:type="dxa"/>
              <w:end w:w="50" w:type="dxa"/>
            </w:tcMar>
            <w:tcBorders>
              <w:bottom w:sz="3" w:val="single" w:color="B8C4CC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36x</w:t>
            </w:r>
          </w:p>
        </w:tc>
        <w:tc>
          <w:tcPr>
            <w:tcW w:type="dxa" w:w="835"/>
            <w:shd w:fill="FFFFFF"/>
            <w:tcMar>
              <w:top w:w="40" w:type="dxa"/>
              <w:start w:w="50" w:type="dxa"/>
              <w:bottom w:w="40" w:type="dxa"/>
              <w:end w:w="50" w:type="dxa"/>
            </w:tcMar>
            <w:tcBorders>
              <w:bottom w:sz="3" w:val="single" w:color="B8C4CC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color w:val="2E6E5A"/>
                <w:sz w:val="14"/>
              </w:rPr>
              <w:t>970</w:t>
            </w:r>
          </w:p>
        </w:tc>
        <w:tc>
          <w:tcPr>
            <w:tcW w:type="dxa" w:w="792"/>
            <w:shd w:fill="FFFFFF"/>
            <w:tcMar>
              <w:top w:w="40" w:type="dxa"/>
              <w:start w:w="50" w:type="dxa"/>
              <w:bottom w:w="40" w:type="dxa"/>
              <w:end w:w="50" w:type="dxa"/>
            </w:tcMar>
            <w:tcBorders>
              <w:bottom w:sz="3" w:val="single" w:color="B8C4CC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color w:val="2E6E5A"/>
                <w:sz w:val="14"/>
              </w:rPr>
              <w:t>+61%</w:t>
            </w:r>
          </w:p>
        </w:tc>
        <w:tc>
          <w:tcPr>
            <w:tcW w:type="dxa" w:w="1036"/>
            <w:shd w:fill="FFFFFF"/>
            <w:tcMar>
              <w:top w:w="40" w:type="dxa"/>
              <w:start w:w="50" w:type="dxa"/>
              <w:bottom w:w="40" w:type="dxa"/>
              <w:end w:w="50" w:type="dxa"/>
            </w:tcMar>
            <w:tcBorders>
              <w:bottom w:sz="3" w:val="single" w:color="B8C4CC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30%</w:t>
            </w:r>
          </w:p>
        </w:tc>
      </w:tr>
    </w:tbl>
    <w:p>
      <w:pPr>
        <w:spacing w:before="12" w:after="0" w:line="235" w:lineRule="auto"/>
      </w:pPr>
      <w:r>
        <w:rPr>
          <w:rFonts w:ascii="Arial" w:hAnsi="Arial"/>
          <w:b/>
          <w:i w:val="0"/>
          <w:color w:val="183B56"/>
          <w:sz w:val="16"/>
        </w:rPr>
        <w:t xml:space="preserve">Probability-weighted value: CHF 786, rounded to CHF 785 (+30%). </w:t>
      </w:r>
      <w:r>
        <w:rPr>
          <w:rFonts w:ascii="Arial" w:hAnsi="Arial"/>
          <w:b w:val="0"/>
          <w:i w:val="0"/>
          <w:color w:val="111111"/>
          <w:sz w:val="16"/>
        </w:rPr>
        <w:t>The base case combines a 19% EBITDA estimate gap versus consensus with a target multiple only 0.8x above the current consensus multiple. The bull case requires quarterly output above CHF 500m and continued vacuum-intensity gains.</w:t>
      </w:r>
    </w:p>
    <w:p>
      <w:pPr>
        <w:keepNext/>
        <w:keepLines/>
        <w:spacing w:before="40" w:after="20" w:line="240" w:lineRule="auto"/>
        <w:pBdr>
          <w:bottom w:val="single" w:sz="8" w:space="1" w:color="4E7896"/>
        </w:pBdr>
      </w:pPr>
      <w:r>
        <w:rPr>
          <w:rFonts w:ascii="Arial" w:hAnsi="Arial" w:eastAsia="Arial"/>
          <w:b/>
          <w:i w:val="0"/>
          <w:color w:val="183B56"/>
          <w:sz w:val="18"/>
        </w:rPr>
        <w:t>7. EVENT PATH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2721"/>
        <w:gridCol w:w="2721"/>
        <w:gridCol w:w="2721"/>
      </w:tblGrid>
      <w:tr>
        <w:trPr>
          <w:cantSplit/>
        </w:trPr>
        <w:tc>
          <w:tcPr>
            <w:tcW w:type="dxa" w:w="1555"/>
            <w:shd w:fill="183B56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21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2"/>
              </w:rPr>
              <w:t>EVENT / DATE</w:t>
            </w:r>
          </w:p>
        </w:tc>
        <w:tc>
          <w:tcPr>
            <w:tcW w:type="dxa" w:w="3139"/>
            <w:shd w:fill="183B56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21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2"/>
              </w:rPr>
              <w:t>MONITOR</w:t>
            </w:r>
          </w:p>
        </w:tc>
        <w:tc>
          <w:tcPr>
            <w:tcW w:type="dxa" w:w="2822"/>
            <w:shd w:fill="183B56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21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2"/>
              </w:rPr>
              <w:t>CONFIRMS THESIS</w:t>
            </w:r>
          </w:p>
        </w:tc>
        <w:tc>
          <w:tcPr>
            <w:tcW w:type="dxa" w:w="2822"/>
            <w:shd w:fill="183B56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21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2"/>
              </w:rPr>
              <w:t>DISPROVES THESIS</w:t>
            </w:r>
          </w:p>
        </w:tc>
      </w:tr>
      <w:tr>
        <w:trPr>
          <w:cantSplit/>
        </w:trPr>
        <w:tc>
          <w:tcPr>
            <w:tcW w:type="dxa" w:w="1555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3" w:val="single" w:color="B8C4CC"/>
            </w:tcBorders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color w:val="183B56"/>
                <w:sz w:val="14"/>
              </w:rPr>
              <w:t>Aug-Sep</w:t>
            </w:r>
          </w:p>
        </w:tc>
        <w:tc>
          <w:tcPr>
            <w:tcW w:type="dxa" w:w="3139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3" w:val="single" w:color="B8C4CC"/>
            </w:tcBorders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Hiring, supplier lead times, inventory and shipment commentary</w:t>
            </w:r>
          </w:p>
        </w:tc>
        <w:tc>
          <w:tcPr>
            <w:tcW w:type="dxa" w:w="2822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3" w:val="single" w:color="B8C4CC"/>
            </w:tcBorders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Output rises without another working-capital spike</w:t>
            </w:r>
          </w:p>
        </w:tc>
        <w:tc>
          <w:tcPr>
            <w:tcW w:type="dxa" w:w="2822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3" w:val="single" w:color="B8C4CC"/>
            </w:tcBorders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Inventory or supplier constraints continue to delay revenue</w:t>
            </w:r>
          </w:p>
        </w:tc>
      </w:tr>
      <w:tr>
        <w:trPr>
          <w:cantSplit/>
        </w:trPr>
        <w:tc>
          <w:tcPr>
            <w:tcW w:type="dxa" w:w="1555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3" w:val="single" w:color="B8C4CC"/>
            </w:tcBorders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color w:val="183B56"/>
                <w:sz w:val="14"/>
              </w:rPr>
              <w:t>15 Oct</w:t>
            </w:r>
          </w:p>
        </w:tc>
        <w:tc>
          <w:tcPr>
            <w:tcW w:type="dxa" w:w="3139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3" w:val="single" w:color="B8C4CC"/>
            </w:tcBorders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Q3 sales, orders, margin, book-to-bill and backlog</w:t>
            </w:r>
          </w:p>
        </w:tc>
        <w:tc>
          <w:tcPr>
            <w:tcW w:type="dxa" w:w="2822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3" w:val="single" w:color="B8C4CC"/>
            </w:tcBorders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Guide beat plus &gt;1.0x book-to-bill and sequential margin improvement</w:t>
            </w:r>
          </w:p>
        </w:tc>
        <w:tc>
          <w:tcPr>
            <w:tcW w:type="dxa" w:w="2822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3" w:val="single" w:color="B8C4CC"/>
            </w:tcBorders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Guide miss, orders below revenue or another margin setback</w:t>
            </w:r>
          </w:p>
        </w:tc>
      </w:tr>
      <w:tr>
        <w:trPr>
          <w:cantSplit/>
        </w:trPr>
        <w:tc>
          <w:tcPr>
            <w:tcW w:type="dxa" w:w="1555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3" w:val="single" w:color="B8C4CC"/>
            </w:tcBorders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color w:val="183B56"/>
                <w:sz w:val="14"/>
              </w:rPr>
              <w:t>Oct-Nov</w:t>
            </w:r>
          </w:p>
        </w:tc>
        <w:tc>
          <w:tcPr>
            <w:tcW w:type="dxa" w:w="3139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3" w:val="single" w:color="B8C4CC"/>
            </w:tcBorders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Leading-edge logic, HBM and memory capex</w:t>
            </w:r>
          </w:p>
        </w:tc>
        <w:tc>
          <w:tcPr>
            <w:tcW w:type="dxa" w:w="2822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3" w:val="single" w:color="B8C4CC"/>
            </w:tcBorders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Customer and OEM 2027 budgets rise; WFE holds near USD 180bn</w:t>
            </w:r>
          </w:p>
        </w:tc>
        <w:tc>
          <w:tcPr>
            <w:tcW w:type="dxa" w:w="2822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3" w:val="single" w:color="B8C4CC"/>
            </w:tcBorders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Project delays, China mix deterioration or memory cuts</w:t>
            </w:r>
          </w:p>
        </w:tc>
      </w:tr>
      <w:tr>
        <w:trPr>
          <w:cantSplit/>
        </w:trPr>
        <w:tc>
          <w:tcPr>
            <w:tcW w:type="dxa" w:w="1555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3" w:val="single" w:color="B8C4CC"/>
            </w:tcBorders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color w:val="183B56"/>
                <w:sz w:val="14"/>
              </w:rPr>
              <w:t>Dec-Mar</w:t>
            </w:r>
          </w:p>
        </w:tc>
        <w:tc>
          <w:tcPr>
            <w:tcW w:type="dxa" w:w="3139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3" w:val="single" w:color="B8C4CC"/>
            </w:tcBorders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YE26 factory run-rate and formal 2027 guidance</w:t>
            </w:r>
          </w:p>
        </w:tc>
        <w:tc>
          <w:tcPr>
            <w:tcW w:type="dxa" w:w="2822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3" w:val="single" w:color="B8C4CC"/>
            </w:tcBorders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&gt;CHF 450m quarterly output; 2027 revenue guide &gt;CHF 1.8bn</w:t>
            </w:r>
          </w:p>
        </w:tc>
        <w:tc>
          <w:tcPr>
            <w:tcW w:type="dxa" w:w="2822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3" w:val="single" w:color="B8C4CC"/>
            </w:tcBorders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Output below CHF 400m; 2027 guide below CHF 1.7bn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43"/>
        <w:gridCol w:w="5443"/>
      </w:tblGrid>
      <w:tr>
        <w:trPr>
          <w:cantSplit/>
        </w:trPr>
        <w:tc>
          <w:tcPr>
            <w:tcW w:type="dxa" w:w="5112"/>
            <w:shd w:fill="F5F7F8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sz="5" w:val="single" w:color="4E7896"/>
              <w:left w:sz="5" w:val="single" w:color="4E7896"/>
              <w:bottom w:sz="5" w:val="single" w:color="4E7896"/>
              <w:right w:sz="5" w:val="single" w:color="4E7896"/>
            </w:tcBorders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i w:val="0"/>
                <w:color w:val="183B56"/>
                <w:sz w:val="14"/>
              </w:rPr>
              <w:t>THREE ASSUMPTIONS THAT DECIDE THE PITCH</w:t>
              <w:br/>
            </w:r>
            <w:r>
              <w:rPr>
                <w:rFonts w:ascii="Arial" w:hAnsi="Arial"/>
                <w:b w:val="0"/>
                <w:i w:val="0"/>
                <w:color w:val="111111"/>
                <w:sz w:val="14"/>
              </w:rPr>
              <w:t>1) 2027 WFE remains at least USD 170-180bn and the mix stays deposition/etch-heavy.  2) VAT exits 2026 above CHF 450m quarterly factory output.  3) EBITDA margin recovers to c.37% as temporary labour and expedite costs normalize.</w:t>
            </w:r>
          </w:p>
        </w:tc>
        <w:tc>
          <w:tcPr>
            <w:tcW w:type="dxa" w:w="5112"/>
            <w:shd w:fill="F5F7F8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sz="5" w:val="single" w:color="4E7896"/>
              <w:left w:sz="5" w:val="single" w:color="4E7896"/>
              <w:bottom w:sz="5" w:val="single" w:color="4E7896"/>
              <w:right w:sz="5" w:val="single" w:color="4E7896"/>
            </w:tcBorders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i w:val="0"/>
                <w:color w:val="183B56"/>
                <w:sz w:val="14"/>
              </w:rPr>
              <w:t>REMAINING INFORMATION GAPS</w:t>
              <w:br/>
            </w:r>
            <w:r>
              <w:rPr>
                <w:rFonts w:ascii="Arial" w:hAnsi="Arial"/>
                <w:b w:val="0"/>
                <w:i w:val="0"/>
                <w:color w:val="111111"/>
                <w:sz w:val="14"/>
              </w:rPr>
              <w:t>Exact backlog cancellability; customer-level order concentration; logic/memory/China split within semiconductor orders; net pricing versus mix; and the near-term earnings profile of Atonarp. These are not assumed away.</w:t>
            </w:r>
          </w:p>
        </w:tc>
      </w:tr>
    </w:tbl>
    <w:p>
      <w:pPr>
        <w:spacing w:before="20" w:after="0" w:line="228" w:lineRule="auto"/>
      </w:pPr>
      <w:r>
        <w:rPr>
          <w:rFonts w:ascii="Arial" w:hAnsi="Arial"/>
          <w:b w:val="0"/>
          <w:i w:val="0"/>
          <w:color w:val="6B7780"/>
          <w:sz w:val="11"/>
        </w:rPr>
        <w:t>Sources: VAT H1 2026 report and presentation; VAT FY2025 Annual Report and results; VAT event calendar; public WFE assumptions cited by VAT; MarketScreener consensus; analyst estimates. Scenario prices use 30.0m shares and approximately zero 2027 net debt.</w:t>
      </w:r>
    </w:p>
    <w:p>
      <w:r>
        <w:br w:type="page"/>
      </w:r>
    </w:p>
    <w:p>
      <w:pPr>
        <w:spacing w:before="0" w:after="10" w:line="240" w:lineRule="auto"/>
      </w:pPr>
      <w:r>
        <w:rPr>
          <w:rFonts w:ascii="Arial" w:hAnsi="Arial" w:eastAsia="Arial"/>
          <w:b/>
          <w:i w:val="0"/>
          <w:color w:val="183B56"/>
          <w:sz w:val="22"/>
        </w:rPr>
        <w:t>PAGE 3 - KEY FINANCIALS AND KPIs</w:t>
      </w:r>
      <w:r>
        <w:rPr>
          <w:rFonts w:ascii="Arial" w:hAnsi="Arial" w:eastAsia="Arial"/>
          <w:b w:val="0"/>
          <w:i w:val="0"/>
          <w:color w:val="6B7780"/>
          <w:sz w:val="14"/>
        </w:rPr>
        <w:t xml:space="preserve">  |  CHF m unless stated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  <w:gridCol w:w="1814"/>
      </w:tblGrid>
      <w:tr>
        <w:trPr>
          <w:tblHeader w:val="true"/>
          <w:cantSplit/>
        </w:trPr>
        <w:tc>
          <w:tcPr>
            <w:tcW w:type="dxa" w:w="3124"/>
            <w:shd w:fill="183B5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color w:val="FFFFFF"/>
                <w:sz w:val="13"/>
              </w:rPr>
              <w:t>METRIC</w:t>
            </w:r>
          </w:p>
        </w:tc>
        <w:tc>
          <w:tcPr>
            <w:tcW w:type="dxa" w:w="1411"/>
            <w:shd w:fill="183B5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color w:val="FFFFFF"/>
                <w:sz w:val="13"/>
              </w:rPr>
              <w:t>FY2023A</w:t>
            </w:r>
          </w:p>
        </w:tc>
        <w:tc>
          <w:tcPr>
            <w:tcW w:type="dxa" w:w="1411"/>
            <w:shd w:fill="183B5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color w:val="FFFFFF"/>
                <w:sz w:val="13"/>
              </w:rPr>
              <w:t>FY2024A</w:t>
            </w:r>
          </w:p>
        </w:tc>
        <w:tc>
          <w:tcPr>
            <w:tcW w:type="dxa" w:w="1411"/>
            <w:shd w:fill="183B5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color w:val="FFFFFF"/>
                <w:sz w:val="13"/>
              </w:rPr>
              <w:t>FY2025A</w:t>
            </w:r>
          </w:p>
        </w:tc>
        <w:tc>
          <w:tcPr>
            <w:tcW w:type="dxa" w:w="1411"/>
            <w:shd w:fill="183B5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color w:val="FFFFFF"/>
                <w:sz w:val="13"/>
              </w:rPr>
              <w:t>FY2026E [A]</w:t>
            </w:r>
          </w:p>
        </w:tc>
        <w:tc>
          <w:tcPr>
            <w:tcW w:type="dxa" w:w="1411"/>
            <w:shd w:fill="183B5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color w:val="FFFFFF"/>
                <w:sz w:val="13"/>
              </w:rPr>
              <w:t>FY2027E [A]</w:t>
            </w:r>
          </w:p>
        </w:tc>
      </w:tr>
      <w:tr>
        <w:trPr>
          <w:cantSplit/>
          <w:cantSplit/>
        </w:trPr>
        <w:tc>
          <w:tcPr>
            <w:tcW w:type="dxa" w:w="3124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Orders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692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1,033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1,033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1,750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1,950</w:t>
            </w:r>
          </w:p>
        </w:tc>
      </w:tr>
      <w:tr>
        <w:trPr>
          <w:cantSplit/>
          <w:cantSplit/>
        </w:trPr>
        <w:tc>
          <w:tcPr>
            <w:tcW w:type="dxa" w:w="3124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Book-to-bill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0.78x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1.10x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0.96x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1.32x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1.03x</w:t>
            </w:r>
          </w:p>
        </w:tc>
      </w:tr>
      <w:tr>
        <w:trPr>
          <w:cantSplit/>
          <w:cantSplit/>
        </w:trPr>
        <w:tc>
          <w:tcPr>
            <w:tcW w:type="dxa" w:w="3124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Backlog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292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370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304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729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779</w:t>
            </w:r>
          </w:p>
        </w:tc>
      </w:tr>
      <w:tr>
        <w:trPr>
          <w:cantSplit/>
          <w:cantSplit/>
        </w:trPr>
        <w:tc>
          <w:tcPr>
            <w:tcW w:type="dxa" w:w="3124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color w:val="183B56"/>
                <w:sz w:val="14"/>
              </w:rPr>
              <w:t>Revenue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color w:val="111111"/>
                <w:sz w:val="14"/>
              </w:rPr>
              <w:t>885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color w:val="111111"/>
                <w:sz w:val="14"/>
              </w:rPr>
              <w:t>942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color w:val="111111"/>
                <w:sz w:val="14"/>
              </w:rPr>
              <w:t>1,074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color w:val="111111"/>
                <w:sz w:val="14"/>
              </w:rPr>
              <w:t>1,325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color w:val="111111"/>
                <w:sz w:val="14"/>
              </w:rPr>
              <w:t>1,900</w:t>
            </w:r>
          </w:p>
        </w:tc>
      </w:tr>
      <w:tr>
        <w:trPr>
          <w:cantSplit/>
          <w:cantSplit/>
        </w:trPr>
        <w:tc>
          <w:tcPr>
            <w:tcW w:type="dxa" w:w="3124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Revenue growth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-22.7%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6.4%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13.9%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23.4%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43.4%</w:t>
            </w:r>
          </w:p>
        </w:tc>
      </w:tr>
      <w:tr>
        <w:trPr>
          <w:cantSplit/>
          <w:cantSplit/>
        </w:trPr>
        <w:tc>
          <w:tcPr>
            <w:tcW w:type="dxa" w:w="3124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Semiconductor sales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518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632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725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965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1,450</w:t>
            </w:r>
          </w:p>
        </w:tc>
      </w:tr>
      <w:tr>
        <w:trPr>
          <w:cantSplit/>
          <w:cantSplit/>
        </w:trPr>
        <w:tc>
          <w:tcPr>
            <w:tcW w:type="dxa" w:w="3124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Semiconductor growth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-34.9%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22.0%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14.6%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33.1%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50.3%</w:t>
            </w:r>
          </w:p>
        </w:tc>
      </w:tr>
      <w:tr>
        <w:trPr>
          <w:cantSplit/>
          <w:cantSplit/>
        </w:trPr>
        <w:tc>
          <w:tcPr>
            <w:tcW w:type="dxa" w:w="3124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Global Service sales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173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168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199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240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290</w:t>
            </w:r>
          </w:p>
        </w:tc>
      </w:tr>
      <w:tr>
        <w:trPr>
          <w:cantSplit/>
          <w:cantSplit/>
        </w:trPr>
        <w:tc>
          <w:tcPr>
            <w:tcW w:type="dxa" w:w="3124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Global Service growth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1.8%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-3.1%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18.7%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20.6%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20.8%</w:t>
            </w:r>
          </w:p>
        </w:tc>
      </w:tr>
      <w:tr>
        <w:trPr>
          <w:cantSplit/>
          <w:cantSplit/>
        </w:trPr>
        <w:tc>
          <w:tcPr>
            <w:tcW w:type="dxa" w:w="3124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color w:val="183B56"/>
                <w:sz w:val="14"/>
              </w:rPr>
              <w:t>EBITDA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color w:val="111111"/>
                <w:sz w:val="14"/>
              </w:rPr>
              <w:t>271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color w:val="111111"/>
                <w:sz w:val="14"/>
              </w:rPr>
              <w:t>294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color w:val="111111"/>
                <w:sz w:val="14"/>
              </w:rPr>
              <w:t>322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color w:val="111111"/>
                <w:sz w:val="14"/>
              </w:rPr>
              <w:t>440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color w:val="111111"/>
                <w:sz w:val="14"/>
              </w:rPr>
              <w:t>703</w:t>
            </w:r>
          </w:p>
        </w:tc>
      </w:tr>
      <w:tr>
        <w:trPr>
          <w:cantSplit/>
          <w:cantSplit/>
        </w:trPr>
        <w:tc>
          <w:tcPr>
            <w:tcW w:type="dxa" w:w="3124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EBITDA margin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30.6%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31.2%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30.0%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33.2%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37.0%</w:t>
            </w:r>
          </w:p>
        </w:tc>
      </w:tr>
      <w:tr>
        <w:trPr>
          <w:cantSplit/>
          <w:cantSplit/>
        </w:trPr>
        <w:tc>
          <w:tcPr>
            <w:tcW w:type="dxa" w:w="3124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EBIT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229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250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273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390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635</w:t>
            </w:r>
          </w:p>
        </w:tc>
      </w:tr>
      <w:tr>
        <w:trPr>
          <w:cantSplit/>
          <w:cantSplit/>
        </w:trPr>
        <w:tc>
          <w:tcPr>
            <w:tcW w:type="dxa" w:w="3124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color w:val="183B56"/>
                <w:sz w:val="14"/>
              </w:rPr>
              <w:t>EPS (CHF)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color w:val="111111"/>
                <w:sz w:val="14"/>
              </w:rPr>
              <w:t>6.33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color w:val="111111"/>
                <w:sz w:val="14"/>
              </w:rPr>
              <w:t>7.06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color w:val="111111"/>
                <w:sz w:val="14"/>
              </w:rPr>
              <w:t>7.15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color w:val="111111"/>
                <w:sz w:val="14"/>
              </w:rPr>
              <w:t>10.6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color w:val="111111"/>
                <w:sz w:val="14"/>
              </w:rPr>
              <w:t>16.7</w:t>
            </w:r>
          </w:p>
        </w:tc>
      </w:tr>
      <w:tr>
        <w:trPr>
          <w:cantSplit/>
          <w:cantSplit/>
        </w:trPr>
        <w:tc>
          <w:tcPr>
            <w:tcW w:type="dxa" w:w="3124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Operating cash flow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256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241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299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315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570</w:t>
            </w:r>
          </w:p>
        </w:tc>
      </w:tr>
      <w:tr>
        <w:trPr>
          <w:cantSplit/>
          <w:cantSplit/>
        </w:trPr>
        <w:tc>
          <w:tcPr>
            <w:tcW w:type="dxa" w:w="3124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color w:val="183B56"/>
                <w:sz w:val="14"/>
              </w:rPr>
              <w:t>Free cash flow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color w:val="111111"/>
                <w:sz w:val="14"/>
              </w:rPr>
              <w:t>189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color w:val="111111"/>
                <w:sz w:val="14"/>
              </w:rPr>
              <w:t>183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color w:val="111111"/>
                <w:sz w:val="14"/>
              </w:rPr>
              <w:t>230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color w:val="111111"/>
                <w:sz w:val="14"/>
              </w:rPr>
              <w:t>225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color w:val="111111"/>
                <w:sz w:val="14"/>
              </w:rPr>
              <w:t>470</w:t>
            </w:r>
          </w:p>
        </w:tc>
      </w:tr>
      <w:tr>
        <w:trPr>
          <w:cantSplit/>
          <w:cantSplit/>
        </w:trPr>
        <w:tc>
          <w:tcPr>
            <w:tcW w:type="dxa" w:w="3124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Capex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69.2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55.7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68.3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90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100</w:t>
            </w:r>
          </w:p>
        </w:tc>
      </w:tr>
      <w:tr>
        <w:trPr>
          <w:cantSplit/>
          <w:cantSplit/>
        </w:trPr>
        <w:tc>
          <w:tcPr>
            <w:tcW w:type="dxa" w:w="3124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Net debt / (cash)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63.2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83.7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107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210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(50)</w:t>
            </w:r>
          </w:p>
        </w:tc>
      </w:tr>
      <w:tr>
        <w:trPr>
          <w:cantSplit/>
          <w:cantSplit/>
        </w:trPr>
        <w:tc>
          <w:tcPr>
            <w:tcW w:type="dxa" w:w="3124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ROIC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33.4%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35.6%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35.2%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38.0%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52.0%</w:t>
            </w:r>
          </w:p>
        </w:tc>
      </w:tr>
      <w:tr>
        <w:trPr>
          <w:cantSplit/>
          <w:cantSplit/>
        </w:trPr>
        <w:tc>
          <w:tcPr>
            <w:tcW w:type="dxa" w:w="3124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EV / sales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-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-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-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13.8x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9.5x</w:t>
            </w:r>
          </w:p>
        </w:tc>
      </w:tr>
      <w:tr>
        <w:trPr>
          <w:cantSplit/>
          <w:cantSplit/>
        </w:trPr>
        <w:tc>
          <w:tcPr>
            <w:tcW w:type="dxa" w:w="3124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EV / EBITDA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-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-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-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41.5x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25.6x</w:t>
            </w:r>
          </w:p>
        </w:tc>
      </w:tr>
      <w:tr>
        <w:trPr>
          <w:cantSplit/>
          <w:cantSplit/>
        </w:trPr>
        <w:tc>
          <w:tcPr>
            <w:tcW w:type="dxa" w:w="3124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P / E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-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-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-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56.8x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FFFFF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36.0x</w:t>
            </w:r>
          </w:p>
        </w:tc>
      </w:tr>
      <w:tr>
        <w:trPr>
          <w:cantSplit/>
          <w:cantSplit/>
        </w:trPr>
        <w:tc>
          <w:tcPr>
            <w:tcW w:type="dxa" w:w="3124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FCF yield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-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-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-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1.2%</w:t>
            </w:r>
          </w:p>
        </w:tc>
        <w:tc>
          <w:tcPr>
            <w:tcW w:type="dxa" w:w="1411"/>
            <w:tcMar>
              <w:top w:w="40" w:type="dxa"/>
              <w:start w:w="50" w:type="dxa"/>
              <w:bottom w:w="40" w:type="dxa"/>
              <w:end w:w="50" w:type="dxa"/>
            </w:tcMar>
            <w:shd w:fill="F5F7F8"/>
            <w:tcBorders>
              <w:bottom w:sz="2" w:val="single" w:color="DCE3E7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2.6%</w:t>
            </w:r>
          </w:p>
        </w:tc>
      </w:tr>
    </w:tbl>
    <w:p>
      <w:pPr>
        <w:spacing w:before="20" w:after="0" w:line="240" w:lineRule="auto"/>
      </w:pPr>
      <w:r>
        <w:rPr>
          <w:rFonts w:ascii="Arial" w:hAnsi="Arial"/>
          <w:b/>
          <w:i w:val="0"/>
          <w:color w:val="183B56"/>
          <w:sz w:val="15"/>
        </w:rPr>
        <w:t>H1 2026 operating snapshot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77"/>
        <w:gridCol w:w="2177"/>
        <w:gridCol w:w="2177"/>
        <w:gridCol w:w="2177"/>
        <w:gridCol w:w="2177"/>
      </w:tblGrid>
      <w:tr>
        <w:trPr>
          <w:cantSplit/>
        </w:trPr>
        <w:tc>
          <w:tcPr>
            <w:tcW w:type="dxa" w:w="2044"/>
            <w:shd w:fill="EAF0F4"/>
            <w:tcMar>
              <w:top w:w="40" w:type="dxa"/>
              <w:start w:w="50" w:type="dxa"/>
              <w:bottom w:w="40" w:type="dxa"/>
              <w:end w:w="50" w:type="dxa"/>
            </w:tcMar>
            <w:tcBorders>
              <w:left w:sz="3" w:val="single" w:color="B8C4CC"/>
              <w:bottom w:sz="3" w:val="single" w:color="B8C4CC"/>
              <w:right w:sz="3" w:val="single" w:color="B8C4CC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i w:val="0"/>
                <w:color w:val="6B7780"/>
                <w:sz w:val="12"/>
              </w:rPr>
              <w:t>ORDERS</w:t>
              <w:br/>
            </w:r>
            <w:r>
              <w:rPr>
                <w:rFonts w:ascii="Arial" w:hAnsi="Arial"/>
                <w:b/>
                <w:i w:val="0"/>
                <w:color w:val="183B56"/>
                <w:sz w:val="16"/>
              </w:rPr>
              <w:t>CHF 856m</w:t>
            </w:r>
          </w:p>
        </w:tc>
        <w:tc>
          <w:tcPr>
            <w:tcW w:type="dxa" w:w="2044"/>
            <w:shd w:fill="EAF0F4"/>
            <w:tcMar>
              <w:top w:w="40" w:type="dxa"/>
              <w:start w:w="50" w:type="dxa"/>
              <w:bottom w:w="40" w:type="dxa"/>
              <w:end w:w="50" w:type="dxa"/>
            </w:tcMar>
            <w:tcBorders>
              <w:left w:sz="3" w:val="single" w:color="B8C4CC"/>
              <w:bottom w:sz="3" w:val="single" w:color="B8C4CC"/>
              <w:right w:sz="3" w:val="single" w:color="B8C4CC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i w:val="0"/>
                <w:color w:val="6B7780"/>
                <w:sz w:val="12"/>
              </w:rPr>
              <w:t>BACKLOG</w:t>
              <w:br/>
            </w:r>
            <w:r>
              <w:rPr>
                <w:rFonts w:ascii="Arial" w:hAnsi="Arial"/>
                <w:b/>
                <w:i w:val="0"/>
                <w:color w:val="183B56"/>
                <w:sz w:val="16"/>
              </w:rPr>
              <w:t>CHF 648m</w:t>
            </w:r>
          </w:p>
        </w:tc>
        <w:tc>
          <w:tcPr>
            <w:tcW w:type="dxa" w:w="2044"/>
            <w:shd w:fill="EAF0F4"/>
            <w:tcMar>
              <w:top w:w="40" w:type="dxa"/>
              <w:start w:w="50" w:type="dxa"/>
              <w:bottom w:w="40" w:type="dxa"/>
              <w:end w:w="50" w:type="dxa"/>
            </w:tcMar>
            <w:tcBorders>
              <w:left w:sz="3" w:val="single" w:color="B8C4CC"/>
              <w:bottom w:sz="3" w:val="single" w:color="B8C4CC"/>
              <w:right w:sz="3" w:val="single" w:color="B8C4CC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i w:val="0"/>
                <w:color w:val="6B7780"/>
                <w:sz w:val="12"/>
              </w:rPr>
              <w:t>SALES</w:t>
              <w:br/>
            </w:r>
            <w:r>
              <w:rPr>
                <w:rFonts w:ascii="Arial" w:hAnsi="Arial"/>
                <w:b/>
                <w:i w:val="0"/>
                <w:color w:val="183B56"/>
                <w:sz w:val="16"/>
              </w:rPr>
              <w:t>CHF 512m</w:t>
            </w:r>
          </w:p>
        </w:tc>
        <w:tc>
          <w:tcPr>
            <w:tcW w:type="dxa" w:w="2044"/>
            <w:shd w:fill="EAF0F4"/>
            <w:tcMar>
              <w:top w:w="40" w:type="dxa"/>
              <w:start w:w="50" w:type="dxa"/>
              <w:bottom w:w="40" w:type="dxa"/>
              <w:end w:w="50" w:type="dxa"/>
            </w:tcMar>
            <w:tcBorders>
              <w:left w:sz="3" w:val="single" w:color="B8C4CC"/>
              <w:bottom w:sz="3" w:val="single" w:color="B8C4CC"/>
              <w:right w:sz="3" w:val="single" w:color="B8C4CC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i w:val="0"/>
                <w:color w:val="6B7780"/>
                <w:sz w:val="12"/>
              </w:rPr>
              <w:t>FACTORY RUN-RATE</w:t>
              <w:br/>
            </w:r>
            <w:r>
              <w:rPr>
                <w:rFonts w:ascii="Arial" w:hAnsi="Arial"/>
                <w:b/>
                <w:i w:val="0"/>
                <w:color w:val="183B56"/>
                <w:sz w:val="16"/>
              </w:rPr>
              <w:t>c.CHF 320m/qtr</w:t>
            </w:r>
          </w:p>
        </w:tc>
        <w:tc>
          <w:tcPr>
            <w:tcW w:type="dxa" w:w="2044"/>
            <w:shd w:fill="EAF0F4"/>
            <w:tcMar>
              <w:top w:w="40" w:type="dxa"/>
              <w:start w:w="50" w:type="dxa"/>
              <w:bottom w:w="40" w:type="dxa"/>
              <w:end w:w="50" w:type="dxa"/>
            </w:tcMar>
            <w:tcBorders>
              <w:left w:sz="3" w:val="single" w:color="B8C4CC"/>
              <w:bottom w:sz="3" w:val="single" w:color="B8C4CC"/>
              <w:right w:sz="3" w:val="single" w:color="B8C4CC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i w:val="0"/>
                <w:color w:val="6B7780"/>
                <w:sz w:val="12"/>
              </w:rPr>
              <w:t>GLOBAL SERVICE</w:t>
              <w:br/>
            </w:r>
            <w:r>
              <w:rPr>
                <w:rFonts w:ascii="Arial" w:hAnsi="Arial"/>
                <w:b/>
                <w:i w:val="0"/>
                <w:color w:val="183B56"/>
                <w:sz w:val="16"/>
              </w:rPr>
              <w:t>+16.5% YoY</w:t>
            </w:r>
          </w:p>
        </w:tc>
      </w:tr>
      <w:tr>
        <w:trPr>
          <w:cantSplit/>
        </w:trPr>
        <w:tc>
          <w:tcPr>
            <w:tcW w:type="dxa" w:w="2044"/>
            <w:tcMar>
              <w:top w:w="40" w:type="dxa"/>
              <w:start w:w="50" w:type="dxa"/>
              <w:bottom w:w="40" w:type="dxa"/>
              <w:end w:w="50" w:type="dxa"/>
            </w:tcMar>
            <w:tcBorders>
              <w:left w:sz="3" w:val="single" w:color="B8C4CC"/>
              <w:bottom w:sz="3" w:val="single" w:color="B8C4CC"/>
              <w:right w:sz="3" w:val="single" w:color="B8C4CC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3"/>
              </w:rPr>
              <w:t>+75% YoY</w:t>
            </w:r>
          </w:p>
        </w:tc>
        <w:tc>
          <w:tcPr>
            <w:tcW w:type="dxa" w:w="2044"/>
            <w:tcMar>
              <w:top w:w="40" w:type="dxa"/>
              <w:start w:w="50" w:type="dxa"/>
              <w:bottom w:w="40" w:type="dxa"/>
              <w:end w:w="50" w:type="dxa"/>
            </w:tcMar>
            <w:tcBorders>
              <w:left w:sz="3" w:val="single" w:color="B8C4CC"/>
              <w:bottom w:sz="3" w:val="single" w:color="B8C4CC"/>
              <w:right w:sz="3" w:val="single" w:color="B8C4CC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3"/>
              </w:rPr>
              <w:t>+121% YoY</w:t>
            </w:r>
          </w:p>
        </w:tc>
        <w:tc>
          <w:tcPr>
            <w:tcW w:type="dxa" w:w="2044"/>
            <w:tcMar>
              <w:top w:w="40" w:type="dxa"/>
              <w:start w:w="50" w:type="dxa"/>
              <w:bottom w:w="40" w:type="dxa"/>
              <w:end w:w="50" w:type="dxa"/>
            </w:tcMar>
            <w:tcBorders>
              <w:left w:sz="3" w:val="single" w:color="B8C4CC"/>
              <w:bottom w:sz="3" w:val="single" w:color="B8C4CC"/>
              <w:right w:sz="3" w:val="single" w:color="B8C4CC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3"/>
              </w:rPr>
              <w:t>-8% YoY</w:t>
            </w:r>
          </w:p>
        </w:tc>
        <w:tc>
          <w:tcPr>
            <w:tcW w:type="dxa" w:w="2044"/>
            <w:tcMar>
              <w:top w:w="40" w:type="dxa"/>
              <w:start w:w="50" w:type="dxa"/>
              <w:bottom w:w="40" w:type="dxa"/>
              <w:end w:w="50" w:type="dxa"/>
            </w:tcMar>
            <w:tcBorders>
              <w:left w:sz="3" w:val="single" w:color="B8C4CC"/>
              <w:bottom w:sz="3" w:val="single" w:color="B8C4CC"/>
              <w:right w:sz="3" w:val="single" w:color="B8C4CC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3"/>
              </w:rPr>
              <w:t>&gt;CHF 450m YE26 target</w:t>
            </w:r>
          </w:p>
        </w:tc>
        <w:tc>
          <w:tcPr>
            <w:tcW w:type="dxa" w:w="2044"/>
            <w:tcMar>
              <w:top w:w="40" w:type="dxa"/>
              <w:start w:w="50" w:type="dxa"/>
              <w:bottom w:w="40" w:type="dxa"/>
              <w:end w:w="50" w:type="dxa"/>
            </w:tcMar>
            <w:tcBorders>
              <w:left w:sz="3" w:val="single" w:color="B8C4CC"/>
              <w:bottom w:sz="3" w:val="single" w:color="B8C4CC"/>
              <w:right w:sz="3" w:val="single" w:color="B8C4CC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3"/>
              </w:rPr>
              <w:t>47.2% EBITDA margin</w:t>
            </w:r>
          </w:p>
        </w:tc>
      </w:tr>
    </w:tbl>
    <w:p>
      <w:pPr>
        <w:spacing w:before="14" w:after="0" w:line="235" w:lineRule="auto"/>
      </w:pPr>
      <w:r>
        <w:rPr>
          <w:rFonts w:ascii="Arial" w:hAnsi="Arial"/>
          <w:b/>
          <w:i w:val="0"/>
          <w:color w:val="183B56"/>
          <w:sz w:val="15"/>
        </w:rPr>
        <w:t xml:space="preserve">Estimate bridge. </w:t>
      </w:r>
      <w:r>
        <w:rPr>
          <w:rFonts w:ascii="Arial" w:hAnsi="Arial"/>
          <w:b w:val="0"/>
          <w:i w:val="0"/>
          <w:color w:val="111111"/>
          <w:sz w:val="15"/>
        </w:rPr>
        <w:t>Our 2027 revenue/EBITDA are 16%/19% above public consensus. The model does not require market-share gains: it assumes Q4 2026 sales of c.CHF 440m, average quarterly sales of c.CHF 475m in 2027, and EBITDA margin recovery to 37% as temporary labour and supply-chain costs normalize.</w:t>
      </w:r>
    </w:p>
    <w:p>
      <w:pPr>
        <w:spacing w:before="20" w:after="0" w:line="228" w:lineRule="auto"/>
      </w:pPr>
      <w:r>
        <w:rPr>
          <w:rFonts w:ascii="Arial" w:hAnsi="Arial"/>
          <w:b w:val="0"/>
          <w:i w:val="0"/>
          <w:color w:val="6B7780"/>
          <w:sz w:val="11"/>
        </w:rPr>
        <w:t>Sources: FY2023A-FY2025A: VAT annual reports. H1 2026: VAT H1 report. FY2026E-FY2027E: analyst estimates [A]. Public consensus: MarketScreener. Spot valuation uses CHF 602, 30.0m shares and analyst net-debt estimates; FCF yield uses equity market capitalization.</w:t>
      </w:r>
    </w:p>
    <w:p>
      <w:r>
        <w:br w:type="page"/>
      </w:r>
    </w:p>
    <w:p>
      <w:pPr>
        <w:spacing w:before="0" w:after="10" w:line="240" w:lineRule="auto"/>
      </w:pPr>
      <w:r>
        <w:rPr>
          <w:rFonts w:ascii="Arial" w:hAnsi="Arial" w:eastAsia="Arial"/>
          <w:b/>
          <w:i w:val="0"/>
          <w:color w:val="183B56"/>
          <w:sz w:val="22"/>
        </w:rPr>
        <w:t>PAGE 4 - VALUATION AND INVESTMENT EVIDENCE</w:t>
      </w:r>
      <w:r>
        <w:rPr>
          <w:rFonts w:ascii="Arial" w:hAnsi="Arial" w:eastAsia="Arial"/>
          <w:b w:val="0"/>
          <w:i w:val="0"/>
          <w:color w:val="2E6E5A"/>
          <w:sz w:val="14"/>
        </w:rPr>
        <w:t xml:space="preserve">  |  Earnings upgrades, not multiple expansion, drive 30% upside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43"/>
        <w:gridCol w:w="5443"/>
      </w:tblGrid>
      <w:tr>
        <w:trPr>
          <w:cantSplit/>
        </w:trPr>
        <w:tc>
          <w:tcPr>
            <w:tcW w:type="dxa" w:w="5212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83B56"/>
                <w:sz w:val="15"/>
              </w:rPr>
              <w:t>1  COMPARABLE-COMPANY VALUATION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737"/>
              <w:gridCol w:w="1737"/>
              <w:gridCol w:w="1737"/>
            </w:tblGrid>
            <w:tr>
              <w:tc>
                <w:tcPr>
                  <w:tcW w:type="dxa" w:w="2232"/>
                  <w:shd w:fill="183B56"/>
                  <w:tcMar>
                    <w:top w:w="25" w:type="dxa"/>
                    <w:start w:w="28" w:type="dxa"/>
                    <w:bottom w:w="25" w:type="dxa"/>
                    <w:end w:w="28" w:type="dxa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2"/>
                    </w:rPr>
                    <w:t>COMPANY</w:t>
                  </w:r>
                </w:p>
              </w:tc>
              <w:tc>
                <w:tcPr>
                  <w:tcW w:type="dxa" w:w="1252"/>
                  <w:shd w:fill="183B56"/>
                  <w:tcMar>
                    <w:top w:w="25" w:type="dxa"/>
                    <w:start w:w="28" w:type="dxa"/>
                    <w:bottom w:w="25" w:type="dxa"/>
                    <w:end w:w="28" w:type="dxa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2"/>
                    </w:rPr>
                    <w:t>2027 P/E</w:t>
                  </w:r>
                </w:p>
              </w:tc>
              <w:tc>
                <w:tcPr>
                  <w:tcW w:type="dxa" w:w="1252"/>
                  <w:shd w:fill="183B56"/>
                  <w:tcMar>
                    <w:top w:w="25" w:type="dxa"/>
                    <w:start w:w="28" w:type="dxa"/>
                    <w:bottom w:w="25" w:type="dxa"/>
                    <w:end w:w="28" w:type="dxa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2"/>
                    </w:rPr>
                    <w:t>2027 EV/EBITDA</w:t>
                  </w:r>
                </w:p>
              </w:tc>
            </w:tr>
            <w:tr>
              <w:tc>
                <w:tcPr>
                  <w:tcW w:type="dxa" w:w="2232"/>
                  <w:shd w:fill="EAF0F4"/>
                  <w:tcMar>
                    <w:top w:w="24" w:type="dxa"/>
                    <w:start w:w="28" w:type="dxa"/>
                    <w:bottom w:w="24" w:type="dxa"/>
                    <w:end w:w="28" w:type="dxa"/>
                  </w:tcMar>
                  <w:tcBorders>
                    <w:bottom w:sz="2" w:val="single" w:color="DCE3E7"/>
                  </w:tcBorders>
                  <w:vAlign w:val="center"/>
                </w:tcPr>
                <w:p>
                  <w:pPr>
                    <w:spacing w:after="0" w:before="0"/>
                    <w:jc w:val="left"/>
                  </w:pPr>
                  <w:r/>
                  <w:r>
                    <w:rPr>
                      <w:rFonts w:ascii="Arial" w:hAnsi="Arial"/>
                      <w:b/>
                      <w:color w:val="183B56"/>
                      <w:sz w:val="12"/>
                    </w:rPr>
                    <w:t>VAT (spot / consensus)</w:t>
                  </w:r>
                </w:p>
              </w:tc>
              <w:tc>
                <w:tcPr>
                  <w:tcW w:type="dxa" w:w="1252"/>
                  <w:shd w:fill="EAF0F4"/>
                  <w:tcMar>
                    <w:top w:w="24" w:type="dxa"/>
                    <w:start w:w="28" w:type="dxa"/>
                    <w:bottom w:w="24" w:type="dxa"/>
                    <w:end w:w="28" w:type="dxa"/>
                  </w:tcMar>
                  <w:tcBorders>
                    <w:bottom w:sz="2" w:val="single" w:color="DCE3E7"/>
                  </w:tcBorders>
                  <w:vAlign w:val="center"/>
                </w:tcPr>
                <w:p>
                  <w:pPr>
                    <w:spacing w:after="0" w:before="0"/>
                    <w:jc w:val="right"/>
                  </w:pPr>
                  <w:r/>
                  <w:r>
                    <w:rPr>
                      <w:rFonts w:ascii="Arial" w:hAnsi="Arial"/>
                      <w:b w:val="0"/>
                      <w:color w:val="111111"/>
                      <w:sz w:val="12"/>
                    </w:rPr>
                    <w:t>45.2x</w:t>
                  </w:r>
                </w:p>
              </w:tc>
              <w:tc>
                <w:tcPr>
                  <w:tcW w:type="dxa" w:w="1252"/>
                  <w:shd w:fill="EAF0F4"/>
                  <w:tcMar>
                    <w:top w:w="24" w:type="dxa"/>
                    <w:start w:w="28" w:type="dxa"/>
                    <w:bottom w:w="24" w:type="dxa"/>
                    <w:end w:w="28" w:type="dxa"/>
                  </w:tcMar>
                  <w:tcBorders>
                    <w:bottom w:sz="2" w:val="single" w:color="DCE3E7"/>
                  </w:tcBorders>
                  <w:vAlign w:val="center"/>
                </w:tcPr>
                <w:p>
                  <w:pPr>
                    <w:spacing w:after="0" w:before="0"/>
                    <w:jc w:val="right"/>
                  </w:pPr>
                  <w:r/>
                  <w:r>
                    <w:rPr>
                      <w:rFonts w:ascii="Arial" w:hAnsi="Arial"/>
                      <w:b w:val="0"/>
                      <w:color w:val="111111"/>
                      <w:sz w:val="12"/>
                    </w:rPr>
                    <w:t>32.7x</w:t>
                  </w:r>
                </w:p>
              </w:tc>
            </w:tr>
            <w:tr>
              <w:tc>
                <w:tcPr>
                  <w:tcW w:type="dxa" w:w="2232"/>
                  <w:shd w:fill="F5F7F8"/>
                  <w:tcMar>
                    <w:top w:w="24" w:type="dxa"/>
                    <w:start w:w="28" w:type="dxa"/>
                    <w:bottom w:w="24" w:type="dxa"/>
                    <w:end w:w="28" w:type="dxa"/>
                  </w:tcMar>
                  <w:tcBorders>
                    <w:bottom w:sz="2" w:val="single" w:color="DCE3E7"/>
                  </w:tcBorders>
                  <w:vAlign w:val="center"/>
                </w:tcPr>
                <w:p>
                  <w:pPr>
                    <w:spacing w:after="0" w:before="0"/>
                    <w:jc w:val="left"/>
                  </w:pPr>
                  <w:r/>
                  <w:r>
                    <w:rPr>
                      <w:rFonts w:ascii="Arial" w:hAnsi="Arial"/>
                      <w:b/>
                      <w:color w:val="183B56"/>
                      <w:sz w:val="12"/>
                    </w:rPr>
                    <w:t>VAT (spot / our est.)</w:t>
                  </w:r>
                </w:p>
              </w:tc>
              <w:tc>
                <w:tcPr>
                  <w:tcW w:type="dxa" w:w="1252"/>
                  <w:shd w:fill="F5F7F8"/>
                  <w:tcMar>
                    <w:top w:w="24" w:type="dxa"/>
                    <w:start w:w="28" w:type="dxa"/>
                    <w:bottom w:w="24" w:type="dxa"/>
                    <w:end w:w="28" w:type="dxa"/>
                  </w:tcMar>
                  <w:tcBorders>
                    <w:bottom w:sz="2" w:val="single" w:color="DCE3E7"/>
                  </w:tcBorders>
                  <w:vAlign w:val="center"/>
                </w:tcPr>
                <w:p>
                  <w:pPr>
                    <w:spacing w:after="0" w:before="0"/>
                    <w:jc w:val="right"/>
                  </w:pPr>
                  <w:r/>
                  <w:r>
                    <w:rPr>
                      <w:rFonts w:ascii="Arial" w:hAnsi="Arial"/>
                      <w:b w:val="0"/>
                      <w:color w:val="111111"/>
                      <w:sz w:val="12"/>
                    </w:rPr>
                    <w:t>36.0x</w:t>
                  </w:r>
                </w:p>
              </w:tc>
              <w:tc>
                <w:tcPr>
                  <w:tcW w:type="dxa" w:w="1252"/>
                  <w:shd w:fill="F5F7F8"/>
                  <w:tcMar>
                    <w:top w:w="24" w:type="dxa"/>
                    <w:start w:w="28" w:type="dxa"/>
                    <w:bottom w:w="24" w:type="dxa"/>
                    <w:end w:w="28" w:type="dxa"/>
                  </w:tcMar>
                  <w:tcBorders>
                    <w:bottom w:sz="2" w:val="single" w:color="DCE3E7"/>
                  </w:tcBorders>
                  <w:vAlign w:val="center"/>
                </w:tcPr>
                <w:p>
                  <w:pPr>
                    <w:spacing w:after="0" w:before="0"/>
                    <w:jc w:val="right"/>
                  </w:pPr>
                  <w:r/>
                  <w:r>
                    <w:rPr>
                      <w:rFonts w:ascii="Arial" w:hAnsi="Arial"/>
                      <w:b w:val="0"/>
                      <w:color w:val="111111"/>
                      <w:sz w:val="12"/>
                    </w:rPr>
                    <w:t>25.6x</w:t>
                  </w:r>
                </w:p>
              </w:tc>
            </w:tr>
            <w:tr>
              <w:tc>
                <w:tcPr>
                  <w:tcW w:type="dxa" w:w="2232"/>
                  <w:shd w:fill="FFFFFF"/>
                  <w:tcMar>
                    <w:top w:w="24" w:type="dxa"/>
                    <w:start w:w="28" w:type="dxa"/>
                    <w:bottom w:w="24" w:type="dxa"/>
                    <w:end w:w="28" w:type="dxa"/>
                  </w:tcMar>
                  <w:tcBorders>
                    <w:bottom w:sz="2" w:val="single" w:color="DCE3E7"/>
                  </w:tcBorders>
                  <w:vAlign w:val="center"/>
                </w:tcPr>
                <w:p>
                  <w:pPr>
                    <w:spacing w:after="0" w:before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111111"/>
                      <w:sz w:val="12"/>
                    </w:rPr>
                    <w:t>ASML</w:t>
                  </w:r>
                </w:p>
              </w:tc>
              <w:tc>
                <w:tcPr>
                  <w:tcW w:type="dxa" w:w="1252"/>
                  <w:shd w:fill="FFFFFF"/>
                  <w:tcMar>
                    <w:top w:w="24" w:type="dxa"/>
                    <w:start w:w="28" w:type="dxa"/>
                    <w:bottom w:w="24" w:type="dxa"/>
                    <w:end w:w="28" w:type="dxa"/>
                  </w:tcMar>
                  <w:tcBorders>
                    <w:bottom w:sz="2" w:val="single" w:color="DCE3E7"/>
                  </w:tcBorders>
                  <w:vAlign w:val="center"/>
                </w:tcPr>
                <w:p>
                  <w:pPr>
                    <w:spacing w:after="0" w:before="0"/>
                    <w:jc w:val="right"/>
                  </w:pPr>
                  <w:r/>
                  <w:r>
                    <w:rPr>
                      <w:rFonts w:ascii="Arial" w:hAnsi="Arial"/>
                      <w:b w:val="0"/>
                      <w:color w:val="111111"/>
                      <w:sz w:val="12"/>
                    </w:rPr>
                    <w:t>27.6x</w:t>
                  </w:r>
                </w:p>
              </w:tc>
              <w:tc>
                <w:tcPr>
                  <w:tcW w:type="dxa" w:w="1252"/>
                  <w:shd w:fill="FFFFFF"/>
                  <w:tcMar>
                    <w:top w:w="24" w:type="dxa"/>
                    <w:start w:w="28" w:type="dxa"/>
                    <w:bottom w:w="24" w:type="dxa"/>
                    <w:end w:w="28" w:type="dxa"/>
                  </w:tcMar>
                  <w:tcBorders>
                    <w:bottom w:sz="2" w:val="single" w:color="DCE3E7"/>
                  </w:tcBorders>
                  <w:vAlign w:val="center"/>
                </w:tcPr>
                <w:p>
                  <w:pPr>
                    <w:spacing w:after="0" w:before="0"/>
                    <w:jc w:val="right"/>
                  </w:pPr>
                  <w:r/>
                  <w:r>
                    <w:rPr>
                      <w:rFonts w:ascii="Arial" w:hAnsi="Arial"/>
                      <w:b w:val="0"/>
                      <w:color w:val="111111"/>
                      <w:sz w:val="12"/>
                    </w:rPr>
                    <w:t>21.5x</w:t>
                  </w:r>
                </w:p>
              </w:tc>
            </w:tr>
            <w:tr>
              <w:tc>
                <w:tcPr>
                  <w:tcW w:type="dxa" w:w="2232"/>
                  <w:shd w:fill="F5F7F8"/>
                  <w:tcMar>
                    <w:top w:w="24" w:type="dxa"/>
                    <w:start w:w="28" w:type="dxa"/>
                    <w:bottom w:w="24" w:type="dxa"/>
                    <w:end w:w="28" w:type="dxa"/>
                  </w:tcMar>
                  <w:tcBorders>
                    <w:bottom w:sz="2" w:val="single" w:color="DCE3E7"/>
                  </w:tcBorders>
                  <w:vAlign w:val="center"/>
                </w:tcPr>
                <w:p>
                  <w:pPr>
                    <w:spacing w:after="0" w:before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111111"/>
                      <w:sz w:val="12"/>
                    </w:rPr>
                    <w:t>Applied Materials</w:t>
                  </w:r>
                </w:p>
              </w:tc>
              <w:tc>
                <w:tcPr>
                  <w:tcW w:type="dxa" w:w="1252"/>
                  <w:shd w:fill="F5F7F8"/>
                  <w:tcMar>
                    <w:top w:w="24" w:type="dxa"/>
                    <w:start w:w="28" w:type="dxa"/>
                    <w:bottom w:w="24" w:type="dxa"/>
                    <w:end w:w="28" w:type="dxa"/>
                  </w:tcMar>
                  <w:tcBorders>
                    <w:bottom w:sz="2" w:val="single" w:color="DCE3E7"/>
                  </w:tcBorders>
                  <w:vAlign w:val="center"/>
                </w:tcPr>
                <w:p>
                  <w:pPr>
                    <w:spacing w:after="0" w:before="0"/>
                    <w:jc w:val="right"/>
                  </w:pPr>
                  <w:r/>
                  <w:r>
                    <w:rPr>
                      <w:rFonts w:ascii="Arial" w:hAnsi="Arial"/>
                      <w:b w:val="0"/>
                      <w:color w:val="111111"/>
                      <w:sz w:val="12"/>
                    </w:rPr>
                    <w:t>32.7x</w:t>
                  </w:r>
                </w:p>
              </w:tc>
              <w:tc>
                <w:tcPr>
                  <w:tcW w:type="dxa" w:w="1252"/>
                  <w:shd w:fill="F5F7F8"/>
                  <w:tcMar>
                    <w:top w:w="24" w:type="dxa"/>
                    <w:start w:w="28" w:type="dxa"/>
                    <w:bottom w:w="24" w:type="dxa"/>
                    <w:end w:w="28" w:type="dxa"/>
                  </w:tcMar>
                  <w:tcBorders>
                    <w:bottom w:sz="2" w:val="single" w:color="DCE3E7"/>
                  </w:tcBorders>
                  <w:vAlign w:val="center"/>
                </w:tcPr>
                <w:p>
                  <w:pPr>
                    <w:spacing w:after="0" w:before="0"/>
                    <w:jc w:val="right"/>
                  </w:pPr>
                  <w:r/>
                  <w:r>
                    <w:rPr>
                      <w:rFonts w:ascii="Arial" w:hAnsi="Arial"/>
                      <w:b w:val="0"/>
                      <w:color w:val="111111"/>
                      <w:sz w:val="12"/>
                    </w:rPr>
                    <w:t>28.5x</w:t>
                  </w:r>
                </w:p>
              </w:tc>
            </w:tr>
            <w:tr>
              <w:tc>
                <w:tcPr>
                  <w:tcW w:type="dxa" w:w="2232"/>
                  <w:shd w:fill="FFFFFF"/>
                  <w:tcMar>
                    <w:top w:w="24" w:type="dxa"/>
                    <w:start w:w="28" w:type="dxa"/>
                    <w:bottom w:w="24" w:type="dxa"/>
                    <w:end w:w="28" w:type="dxa"/>
                  </w:tcMar>
                  <w:tcBorders>
                    <w:bottom w:sz="2" w:val="single" w:color="DCE3E7"/>
                  </w:tcBorders>
                  <w:vAlign w:val="center"/>
                </w:tcPr>
                <w:p>
                  <w:pPr>
                    <w:spacing w:after="0" w:before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111111"/>
                      <w:sz w:val="12"/>
                    </w:rPr>
                    <w:t>Lam Research</w:t>
                  </w:r>
                </w:p>
              </w:tc>
              <w:tc>
                <w:tcPr>
                  <w:tcW w:type="dxa" w:w="1252"/>
                  <w:shd w:fill="FFFFFF"/>
                  <w:tcMar>
                    <w:top w:w="24" w:type="dxa"/>
                    <w:start w:w="28" w:type="dxa"/>
                    <w:bottom w:w="24" w:type="dxa"/>
                    <w:end w:w="28" w:type="dxa"/>
                  </w:tcMar>
                  <w:tcBorders>
                    <w:bottom w:sz="2" w:val="single" w:color="DCE3E7"/>
                  </w:tcBorders>
                  <w:vAlign w:val="center"/>
                </w:tcPr>
                <w:p>
                  <w:pPr>
                    <w:spacing w:after="0" w:before="0"/>
                    <w:jc w:val="right"/>
                  </w:pPr>
                  <w:r/>
                  <w:r>
                    <w:rPr>
                      <w:rFonts w:ascii="Arial" w:hAnsi="Arial"/>
                      <w:b w:val="0"/>
                      <w:color w:val="111111"/>
                      <w:sz w:val="12"/>
                    </w:rPr>
                    <w:t>31.3x</w:t>
                  </w:r>
                </w:p>
              </w:tc>
              <w:tc>
                <w:tcPr>
                  <w:tcW w:type="dxa" w:w="1252"/>
                  <w:shd w:fill="FFFFFF"/>
                  <w:tcMar>
                    <w:top w:w="24" w:type="dxa"/>
                    <w:start w:w="28" w:type="dxa"/>
                    <w:bottom w:w="24" w:type="dxa"/>
                    <w:end w:w="28" w:type="dxa"/>
                  </w:tcMar>
                  <w:tcBorders>
                    <w:bottom w:sz="2" w:val="single" w:color="DCE3E7"/>
                  </w:tcBorders>
                  <w:vAlign w:val="center"/>
                </w:tcPr>
                <w:p>
                  <w:pPr>
                    <w:spacing w:after="0" w:before="0"/>
                    <w:jc w:val="right"/>
                  </w:pPr>
                  <w:r/>
                  <w:r>
                    <w:rPr>
                      <w:rFonts w:ascii="Arial" w:hAnsi="Arial"/>
                      <w:b w:val="0"/>
                      <w:color w:val="111111"/>
                      <w:sz w:val="12"/>
                    </w:rPr>
                    <w:t>25.8x</w:t>
                  </w:r>
                </w:p>
              </w:tc>
            </w:tr>
            <w:tr>
              <w:tc>
                <w:tcPr>
                  <w:tcW w:type="dxa" w:w="2232"/>
                  <w:shd w:fill="F5F7F8"/>
                  <w:tcMar>
                    <w:top w:w="24" w:type="dxa"/>
                    <w:start w:w="28" w:type="dxa"/>
                    <w:bottom w:w="24" w:type="dxa"/>
                    <w:end w:w="28" w:type="dxa"/>
                  </w:tcMar>
                  <w:tcBorders>
                    <w:bottom w:sz="2" w:val="single" w:color="DCE3E7"/>
                  </w:tcBorders>
                  <w:vAlign w:val="center"/>
                </w:tcPr>
                <w:p>
                  <w:pPr>
                    <w:spacing w:after="0" w:before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111111"/>
                      <w:sz w:val="12"/>
                    </w:rPr>
                    <w:t>KLA</w:t>
                  </w:r>
                </w:p>
              </w:tc>
              <w:tc>
                <w:tcPr>
                  <w:tcW w:type="dxa" w:w="1252"/>
                  <w:shd w:fill="F5F7F8"/>
                  <w:tcMar>
                    <w:top w:w="24" w:type="dxa"/>
                    <w:start w:w="28" w:type="dxa"/>
                    <w:bottom w:w="24" w:type="dxa"/>
                    <w:end w:w="28" w:type="dxa"/>
                  </w:tcMar>
                  <w:tcBorders>
                    <w:bottom w:sz="2" w:val="single" w:color="DCE3E7"/>
                  </w:tcBorders>
                  <w:vAlign w:val="center"/>
                </w:tcPr>
                <w:p>
                  <w:pPr>
                    <w:spacing w:after="0" w:before="0"/>
                    <w:jc w:val="right"/>
                  </w:pPr>
                  <w:r/>
                  <w:r>
                    <w:rPr>
                      <w:rFonts w:ascii="Arial" w:hAnsi="Arial"/>
                      <w:b w:val="0"/>
                      <w:color w:val="111111"/>
                      <w:sz w:val="12"/>
                    </w:rPr>
                    <w:t>39.4x</w:t>
                  </w:r>
                </w:p>
              </w:tc>
              <w:tc>
                <w:tcPr>
                  <w:tcW w:type="dxa" w:w="1252"/>
                  <w:shd w:fill="F5F7F8"/>
                  <w:tcMar>
                    <w:top w:w="24" w:type="dxa"/>
                    <w:start w:w="28" w:type="dxa"/>
                    <w:bottom w:w="24" w:type="dxa"/>
                    <w:end w:w="28" w:type="dxa"/>
                  </w:tcMar>
                  <w:tcBorders>
                    <w:bottom w:sz="2" w:val="single" w:color="DCE3E7"/>
                  </w:tcBorders>
                  <w:vAlign w:val="center"/>
                </w:tcPr>
                <w:p>
                  <w:pPr>
                    <w:spacing w:after="0" w:before="0"/>
                    <w:jc w:val="right"/>
                  </w:pPr>
                  <w:r/>
                  <w:r>
                    <w:rPr>
                      <w:rFonts w:ascii="Arial" w:hAnsi="Arial"/>
                      <w:b w:val="0"/>
                      <w:color w:val="111111"/>
                      <w:sz w:val="12"/>
                    </w:rPr>
                    <w:t>31.7x</w:t>
                  </w:r>
                </w:p>
              </w:tc>
            </w:tr>
            <w:tr>
              <w:tc>
                <w:tcPr>
                  <w:tcW w:type="dxa" w:w="1737"/>
                  <w:vAlign w:val="center"/>
                </w:tcPr>
                <w:p>
                  <w:pPr>
                    <w:spacing w:after="0" w:before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111111"/>
                      <w:sz w:val="12"/>
                    </w:rPr>
                    <w:t>MKS Instruments</w:t>
                  </w:r>
                </w:p>
              </w:tc>
              <w:tc>
                <w:tcPr>
                  <w:tcW w:type="dxa" w:w="1737"/>
                  <w:vAlign w:val="center"/>
                </w:tcPr>
                <w:p>
                  <w:pPr>
                    <w:spacing w:after="0" w:before="0"/>
                    <w:jc w:val="right"/>
                  </w:pPr>
                  <w:r/>
                  <w:r>
                    <w:rPr>
                      <w:rFonts w:ascii="Arial" w:hAnsi="Arial"/>
                      <w:b w:val="0"/>
                      <w:color w:val="111111"/>
                      <w:sz w:val="12"/>
                    </w:rPr>
                    <w:t>25.6x</w:t>
                  </w:r>
                </w:p>
              </w:tc>
              <w:tc>
                <w:tcPr>
                  <w:tcW w:type="dxa" w:w="1737"/>
                  <w:vAlign w:val="center"/>
                </w:tcPr>
                <w:p>
                  <w:pPr>
                    <w:spacing w:after="0" w:before="0"/>
                    <w:jc w:val="right"/>
                  </w:pPr>
                  <w:r/>
                  <w:r>
                    <w:rPr>
                      <w:rFonts w:ascii="Arial" w:hAnsi="Arial"/>
                      <w:b w:val="0"/>
                      <w:color w:val="111111"/>
                      <w:sz w:val="12"/>
                    </w:rPr>
                    <w:t>14.9x</w:t>
                  </w:r>
                </w:p>
              </w:tc>
            </w:tr>
            <w:tr>
              <w:tc>
                <w:tcPr>
                  <w:tcW w:type="dxa" w:w="1737"/>
                  <w:vAlign w:val="center"/>
                </w:tcPr>
                <w:p>
                  <w:pPr>
                    <w:spacing w:after="0" w:before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111111"/>
                      <w:sz w:val="12"/>
                    </w:rPr>
                    <w:t>Tokyo Electron</w:t>
                  </w:r>
                </w:p>
              </w:tc>
              <w:tc>
                <w:tcPr>
                  <w:tcW w:type="dxa" w:w="1737"/>
                  <w:vAlign w:val="center"/>
                </w:tcPr>
                <w:p>
                  <w:pPr>
                    <w:spacing w:after="0" w:before="0"/>
                    <w:jc w:val="right"/>
                  </w:pPr>
                  <w:r/>
                  <w:r>
                    <w:rPr>
                      <w:rFonts w:ascii="Arial" w:hAnsi="Arial"/>
                      <w:b w:val="0"/>
                      <w:color w:val="111111"/>
                      <w:sz w:val="12"/>
                    </w:rPr>
                    <w:t>32.6x</w:t>
                  </w:r>
                </w:p>
              </w:tc>
              <w:tc>
                <w:tcPr>
                  <w:tcW w:type="dxa" w:w="1737"/>
                  <w:vAlign w:val="center"/>
                </w:tcPr>
                <w:p>
                  <w:pPr>
                    <w:spacing w:after="0" w:before="0"/>
                    <w:jc w:val="right"/>
                  </w:pPr>
                  <w:r/>
                  <w:r>
                    <w:rPr>
                      <w:rFonts w:ascii="Arial" w:hAnsi="Arial"/>
                      <w:b w:val="0"/>
                      <w:color w:val="111111"/>
                      <w:sz w:val="12"/>
                    </w:rPr>
                    <w:t>22.1x</w:t>
                  </w:r>
                </w:p>
              </w:tc>
            </w:tr>
          </w:tbl>
          <w:p>
            <w:pPr>
              <w:spacing w:after="0" w:before="0"/>
            </w:pPr>
          </w:p>
          <w:p>
            <w:pPr>
              <w:spacing w:before="0" w:after="0" w:line="228" w:lineRule="auto"/>
            </w:pPr>
            <w:r>
              <w:rPr>
                <w:rFonts w:ascii="Arial" w:hAnsi="Arial"/>
                <w:b/>
                <w:i w:val="0"/>
                <w:color w:val="183B56"/>
                <w:sz w:val="13"/>
              </w:rPr>
              <w:t xml:space="preserve">Read-through: </w:t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  <w:t>VAT looks expensive on consensus, but trades below KLA and close to Lam/AMAT on our 2027 estimates. The thesis does not require a rerating; it requires consensus to catch up.</w:t>
            </w:r>
          </w:p>
        </w:tc>
        <w:tc>
          <w:tcPr>
            <w:tcW w:type="dxa" w:w="5011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83B56"/>
                <w:sz w:val="15"/>
              </w:rPr>
              <w:t>2  HISTORICAL RANGE / TARGET METHOD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670"/>
              <w:gridCol w:w="1670"/>
              <w:gridCol w:w="1670"/>
            </w:tblGrid>
            <w:tr>
              <w:tc>
                <w:tcPr>
                  <w:tcW w:type="dxa" w:w="2217"/>
                  <w:shd w:fill="183B56"/>
                  <w:tcMar>
                    <w:top w:w="25" w:type="dxa"/>
                    <w:start w:w="28" w:type="dxa"/>
                    <w:bottom w:w="25" w:type="dxa"/>
                    <w:end w:w="28" w:type="dxa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2"/>
                    </w:rPr>
                    <w:t>PERIOD / CASE</w:t>
                  </w:r>
                </w:p>
              </w:tc>
              <w:tc>
                <w:tcPr>
                  <w:tcW w:type="dxa" w:w="1137"/>
                  <w:shd w:fill="183B56"/>
                  <w:tcMar>
                    <w:top w:w="25" w:type="dxa"/>
                    <w:start w:w="28" w:type="dxa"/>
                    <w:bottom w:w="25" w:type="dxa"/>
                    <w:end w:w="28" w:type="dxa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2"/>
                    </w:rPr>
                    <w:t>P/E</w:t>
                  </w:r>
                </w:p>
              </w:tc>
              <w:tc>
                <w:tcPr>
                  <w:tcW w:type="dxa" w:w="1238"/>
                  <w:shd w:fill="183B56"/>
                  <w:tcMar>
                    <w:top w:w="25" w:type="dxa"/>
                    <w:start w:w="28" w:type="dxa"/>
                    <w:bottom w:w="25" w:type="dxa"/>
                    <w:end w:w="28" w:type="dxa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2"/>
                    </w:rPr>
                    <w:t>EV/EBITDA</w:t>
                  </w:r>
                </w:p>
              </w:tc>
            </w:tr>
            <w:tr>
              <w:tc>
                <w:tcPr>
                  <w:tcW w:type="dxa" w:w="2217"/>
                  <w:shd w:fill="FFFFFF"/>
                  <w:tcMar>
                    <w:top w:w="24" w:type="dxa"/>
                    <w:start w:w="28" w:type="dxa"/>
                    <w:bottom w:w="24" w:type="dxa"/>
                    <w:end w:w="28" w:type="dxa"/>
                  </w:tcMar>
                  <w:tcBorders>
                    <w:bottom w:sz="2" w:val="single" w:color="DCE3E7"/>
                  </w:tcBorders>
                  <w:vAlign w:val="center"/>
                </w:tcPr>
                <w:p>
                  <w:pPr>
                    <w:spacing w:after="0" w:before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111111"/>
                      <w:sz w:val="12"/>
                    </w:rPr>
                    <w:t>FY2021</w:t>
                  </w:r>
                </w:p>
              </w:tc>
              <w:tc>
                <w:tcPr>
                  <w:tcW w:type="dxa" w:w="1137"/>
                  <w:shd w:fill="FFFFFF"/>
                  <w:tcMar>
                    <w:top w:w="24" w:type="dxa"/>
                    <w:start w:w="28" w:type="dxa"/>
                    <w:bottom w:w="24" w:type="dxa"/>
                    <w:end w:w="28" w:type="dxa"/>
                  </w:tcMar>
                  <w:tcBorders>
                    <w:bottom w:sz="2" w:val="single" w:color="DCE3E7"/>
                  </w:tcBorders>
                  <w:vAlign w:val="center"/>
                </w:tcPr>
                <w:p>
                  <w:pPr>
                    <w:spacing w:after="0" w:before="0"/>
                    <w:jc w:val="right"/>
                  </w:pPr>
                  <w:r/>
                  <w:r>
                    <w:rPr>
                      <w:rFonts w:ascii="Arial" w:hAnsi="Arial"/>
                      <w:b w:val="0"/>
                      <w:color w:val="111111"/>
                      <w:sz w:val="12"/>
                    </w:rPr>
                    <w:t>62.8x</w:t>
                  </w:r>
                </w:p>
              </w:tc>
              <w:tc>
                <w:tcPr>
                  <w:tcW w:type="dxa" w:w="1238"/>
                  <w:shd w:fill="FFFFFF"/>
                  <w:tcMar>
                    <w:top w:w="24" w:type="dxa"/>
                    <w:start w:w="28" w:type="dxa"/>
                    <w:bottom w:w="24" w:type="dxa"/>
                    <w:end w:w="28" w:type="dxa"/>
                  </w:tcMar>
                  <w:tcBorders>
                    <w:bottom w:sz="2" w:val="single" w:color="DCE3E7"/>
                  </w:tcBorders>
                  <w:vAlign w:val="center"/>
                </w:tcPr>
                <w:p>
                  <w:pPr>
                    <w:spacing w:after="0" w:before="0"/>
                    <w:jc w:val="right"/>
                  </w:pPr>
                  <w:r/>
                  <w:r>
                    <w:rPr>
                      <w:rFonts w:ascii="Arial" w:hAnsi="Arial"/>
                      <w:b w:val="0"/>
                      <w:color w:val="111111"/>
                      <w:sz w:val="12"/>
                    </w:rPr>
                    <w:t>44.5x</w:t>
                  </w:r>
                </w:p>
              </w:tc>
            </w:tr>
            <w:tr>
              <w:tc>
                <w:tcPr>
                  <w:tcW w:type="dxa" w:w="2217"/>
                  <w:shd w:fill="F5F7F8"/>
                  <w:tcMar>
                    <w:top w:w="24" w:type="dxa"/>
                    <w:start w:w="28" w:type="dxa"/>
                    <w:bottom w:w="24" w:type="dxa"/>
                    <w:end w:w="28" w:type="dxa"/>
                  </w:tcMar>
                  <w:tcBorders>
                    <w:bottom w:sz="2" w:val="single" w:color="DCE3E7"/>
                  </w:tcBorders>
                  <w:vAlign w:val="center"/>
                </w:tcPr>
                <w:p>
                  <w:pPr>
                    <w:spacing w:after="0" w:before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111111"/>
                      <w:sz w:val="12"/>
                    </w:rPr>
                    <w:t>FY2022 trough</w:t>
                  </w:r>
                </w:p>
              </w:tc>
              <w:tc>
                <w:tcPr>
                  <w:tcW w:type="dxa" w:w="1137"/>
                  <w:shd w:fill="F5F7F8"/>
                  <w:tcMar>
                    <w:top w:w="24" w:type="dxa"/>
                    <w:start w:w="28" w:type="dxa"/>
                    <w:bottom w:w="24" w:type="dxa"/>
                    <w:end w:w="28" w:type="dxa"/>
                  </w:tcMar>
                  <w:tcBorders>
                    <w:bottom w:sz="2" w:val="single" w:color="DCE3E7"/>
                  </w:tcBorders>
                  <w:vAlign w:val="center"/>
                </w:tcPr>
                <w:p>
                  <w:pPr>
                    <w:spacing w:after="0" w:before="0"/>
                    <w:jc w:val="right"/>
                  </w:pPr>
                  <w:r/>
                  <w:r>
                    <w:rPr>
                      <w:rFonts w:ascii="Arial" w:hAnsi="Arial"/>
                      <w:b w:val="0"/>
                      <w:color w:val="111111"/>
                      <w:sz w:val="12"/>
                    </w:rPr>
                    <w:t>24.7x</w:t>
                  </w:r>
                </w:p>
              </w:tc>
              <w:tc>
                <w:tcPr>
                  <w:tcW w:type="dxa" w:w="1238"/>
                  <w:shd w:fill="F5F7F8"/>
                  <w:tcMar>
                    <w:top w:w="24" w:type="dxa"/>
                    <w:start w:w="28" w:type="dxa"/>
                    <w:bottom w:w="24" w:type="dxa"/>
                    <w:end w:w="28" w:type="dxa"/>
                  </w:tcMar>
                  <w:tcBorders>
                    <w:bottom w:sz="2" w:val="single" w:color="DCE3E7"/>
                  </w:tcBorders>
                  <w:vAlign w:val="center"/>
                </w:tcPr>
                <w:p>
                  <w:pPr>
                    <w:spacing w:after="0" w:before="0"/>
                    <w:jc w:val="right"/>
                  </w:pPr>
                  <w:r/>
                  <w:r>
                    <w:rPr>
                      <w:rFonts w:ascii="Arial" w:hAnsi="Arial"/>
                      <w:b w:val="0"/>
                      <w:color w:val="111111"/>
                      <w:sz w:val="12"/>
                    </w:rPr>
                    <w:t>19.0x</w:t>
                  </w:r>
                </w:p>
              </w:tc>
            </w:tr>
            <w:tr>
              <w:tc>
                <w:tcPr>
                  <w:tcW w:type="dxa" w:w="2217"/>
                  <w:shd w:fill="FFFFFF"/>
                  <w:tcMar>
                    <w:top w:w="24" w:type="dxa"/>
                    <w:start w:w="28" w:type="dxa"/>
                    <w:bottom w:w="24" w:type="dxa"/>
                    <w:end w:w="28" w:type="dxa"/>
                  </w:tcMar>
                  <w:tcBorders>
                    <w:bottom w:sz="2" w:val="single" w:color="DCE3E7"/>
                  </w:tcBorders>
                  <w:vAlign w:val="center"/>
                </w:tcPr>
                <w:p>
                  <w:pPr>
                    <w:spacing w:after="0" w:before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111111"/>
                      <w:sz w:val="12"/>
                    </w:rPr>
                    <w:t>FY2023</w:t>
                  </w:r>
                </w:p>
              </w:tc>
              <w:tc>
                <w:tcPr>
                  <w:tcW w:type="dxa" w:w="1137"/>
                  <w:shd w:fill="FFFFFF"/>
                  <w:tcMar>
                    <w:top w:w="24" w:type="dxa"/>
                    <w:start w:w="28" w:type="dxa"/>
                    <w:bottom w:w="24" w:type="dxa"/>
                    <w:end w:w="28" w:type="dxa"/>
                  </w:tcMar>
                  <w:tcBorders>
                    <w:bottom w:sz="2" w:val="single" w:color="DCE3E7"/>
                  </w:tcBorders>
                  <w:vAlign w:val="center"/>
                </w:tcPr>
                <w:p>
                  <w:pPr>
                    <w:spacing w:after="0" w:before="0"/>
                    <w:jc w:val="right"/>
                  </w:pPr>
                  <w:r/>
                  <w:r>
                    <w:rPr>
                      <w:rFonts w:ascii="Arial" w:hAnsi="Arial"/>
                      <w:b w:val="0"/>
                      <w:color w:val="111111"/>
                      <w:sz w:val="12"/>
                    </w:rPr>
                    <w:t>66.5x</w:t>
                  </w:r>
                </w:p>
              </w:tc>
              <w:tc>
                <w:tcPr>
                  <w:tcW w:type="dxa" w:w="1238"/>
                  <w:shd w:fill="FFFFFF"/>
                  <w:tcMar>
                    <w:top w:w="24" w:type="dxa"/>
                    <w:start w:w="28" w:type="dxa"/>
                    <w:bottom w:w="24" w:type="dxa"/>
                    <w:end w:w="28" w:type="dxa"/>
                  </w:tcMar>
                  <w:tcBorders>
                    <w:bottom w:sz="2" w:val="single" w:color="DCE3E7"/>
                  </w:tcBorders>
                  <w:vAlign w:val="center"/>
                </w:tcPr>
                <w:p>
                  <w:pPr>
                    <w:spacing w:after="0" w:before="0"/>
                    <w:jc w:val="right"/>
                  </w:pPr>
                  <w:r/>
                  <w:r>
                    <w:rPr>
                      <w:rFonts w:ascii="Arial" w:hAnsi="Arial"/>
                      <w:b w:val="0"/>
                      <w:color w:val="111111"/>
                      <w:sz w:val="12"/>
                    </w:rPr>
                    <w:t>46.9x</w:t>
                  </w:r>
                </w:p>
              </w:tc>
            </w:tr>
            <w:tr>
              <w:tc>
                <w:tcPr>
                  <w:tcW w:type="dxa" w:w="2217"/>
                  <w:shd w:fill="F5F7F8"/>
                  <w:tcMar>
                    <w:top w:w="24" w:type="dxa"/>
                    <w:start w:w="28" w:type="dxa"/>
                    <w:bottom w:w="24" w:type="dxa"/>
                    <w:end w:w="28" w:type="dxa"/>
                  </w:tcMar>
                  <w:tcBorders>
                    <w:bottom w:sz="2" w:val="single" w:color="DCE3E7"/>
                  </w:tcBorders>
                  <w:vAlign w:val="center"/>
                </w:tcPr>
                <w:p>
                  <w:pPr>
                    <w:spacing w:after="0" w:before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111111"/>
                      <w:sz w:val="12"/>
                    </w:rPr>
                    <w:t>FY2024</w:t>
                  </w:r>
                </w:p>
              </w:tc>
              <w:tc>
                <w:tcPr>
                  <w:tcW w:type="dxa" w:w="1137"/>
                  <w:shd w:fill="F5F7F8"/>
                  <w:tcMar>
                    <w:top w:w="24" w:type="dxa"/>
                    <w:start w:w="28" w:type="dxa"/>
                    <w:bottom w:w="24" w:type="dxa"/>
                    <w:end w:w="28" w:type="dxa"/>
                  </w:tcMar>
                  <w:tcBorders>
                    <w:bottom w:sz="2" w:val="single" w:color="DCE3E7"/>
                  </w:tcBorders>
                  <w:vAlign w:val="center"/>
                </w:tcPr>
                <w:p>
                  <w:pPr>
                    <w:spacing w:after="0" w:before="0"/>
                    <w:jc w:val="right"/>
                  </w:pPr>
                  <w:r/>
                  <w:r>
                    <w:rPr>
                      <w:rFonts w:ascii="Arial" w:hAnsi="Arial"/>
                      <w:b w:val="0"/>
                      <w:color w:val="111111"/>
                      <w:sz w:val="12"/>
                    </w:rPr>
                    <w:t>48.6x</w:t>
                  </w:r>
                </w:p>
              </w:tc>
              <w:tc>
                <w:tcPr>
                  <w:tcW w:type="dxa" w:w="1238"/>
                  <w:shd w:fill="F5F7F8"/>
                  <w:tcMar>
                    <w:top w:w="24" w:type="dxa"/>
                    <w:start w:w="28" w:type="dxa"/>
                    <w:bottom w:w="24" w:type="dxa"/>
                    <w:end w:w="28" w:type="dxa"/>
                  </w:tcMar>
                  <w:tcBorders>
                    <w:bottom w:sz="2" w:val="single" w:color="DCE3E7"/>
                  </w:tcBorders>
                  <w:vAlign w:val="center"/>
                </w:tcPr>
                <w:p>
                  <w:pPr>
                    <w:spacing w:after="0" w:before="0"/>
                    <w:jc w:val="right"/>
                  </w:pPr>
                  <w:r/>
                  <w:r>
                    <w:rPr>
                      <w:rFonts w:ascii="Arial" w:hAnsi="Arial"/>
                      <w:b w:val="0"/>
                      <w:color w:val="111111"/>
                      <w:sz w:val="12"/>
                    </w:rPr>
                    <w:t>35.3x</w:t>
                  </w:r>
                </w:p>
              </w:tc>
            </w:tr>
            <w:tr>
              <w:tc>
                <w:tcPr>
                  <w:tcW w:type="dxa" w:w="2217"/>
                  <w:shd w:fill="FFFFFF"/>
                  <w:tcMar>
                    <w:top w:w="24" w:type="dxa"/>
                    <w:start w:w="28" w:type="dxa"/>
                    <w:bottom w:w="24" w:type="dxa"/>
                    <w:end w:w="28" w:type="dxa"/>
                  </w:tcMar>
                  <w:tcBorders>
                    <w:bottom w:sz="2" w:val="single" w:color="DCE3E7"/>
                  </w:tcBorders>
                  <w:vAlign w:val="center"/>
                </w:tcPr>
                <w:p>
                  <w:pPr>
                    <w:spacing w:after="0" w:before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111111"/>
                      <w:sz w:val="12"/>
                    </w:rPr>
                    <w:t>FY2025</w:t>
                  </w:r>
                </w:p>
              </w:tc>
              <w:tc>
                <w:tcPr>
                  <w:tcW w:type="dxa" w:w="1137"/>
                  <w:shd w:fill="FFFFFF"/>
                  <w:tcMar>
                    <w:top w:w="24" w:type="dxa"/>
                    <w:start w:w="28" w:type="dxa"/>
                    <w:bottom w:w="24" w:type="dxa"/>
                    <w:end w:w="28" w:type="dxa"/>
                  </w:tcMar>
                  <w:tcBorders>
                    <w:bottom w:sz="2" w:val="single" w:color="DCE3E7"/>
                  </w:tcBorders>
                  <w:vAlign w:val="center"/>
                </w:tcPr>
                <w:p>
                  <w:pPr>
                    <w:spacing w:after="0" w:before="0"/>
                    <w:jc w:val="right"/>
                  </w:pPr>
                  <w:r/>
                  <w:r>
                    <w:rPr>
                      <w:rFonts w:ascii="Arial" w:hAnsi="Arial"/>
                      <w:b w:val="0"/>
                      <w:color w:val="111111"/>
                      <w:sz w:val="12"/>
                    </w:rPr>
                    <w:t>54.0x</w:t>
                  </w:r>
                </w:p>
              </w:tc>
              <w:tc>
                <w:tcPr>
                  <w:tcW w:type="dxa" w:w="1238"/>
                  <w:shd w:fill="FFFFFF"/>
                  <w:tcMar>
                    <w:top w:w="24" w:type="dxa"/>
                    <w:start w:w="28" w:type="dxa"/>
                    <w:bottom w:w="24" w:type="dxa"/>
                    <w:end w:w="28" w:type="dxa"/>
                  </w:tcMar>
                  <w:tcBorders>
                    <w:bottom w:sz="2" w:val="single" w:color="DCE3E7"/>
                  </w:tcBorders>
                  <w:vAlign w:val="center"/>
                </w:tcPr>
                <w:p>
                  <w:pPr>
                    <w:spacing w:after="0" w:before="0"/>
                    <w:jc w:val="right"/>
                  </w:pPr>
                  <w:r/>
                  <w:r>
                    <w:rPr>
                      <w:rFonts w:ascii="Arial" w:hAnsi="Arial"/>
                      <w:b w:val="0"/>
                      <w:color w:val="111111"/>
                      <w:sz w:val="12"/>
                    </w:rPr>
                    <w:t>36.3x</w:t>
                  </w:r>
                </w:p>
              </w:tc>
            </w:tr>
            <w:tr>
              <w:tc>
                <w:tcPr>
                  <w:tcW w:type="dxa" w:w="2217"/>
                  <w:shd w:fill="EAF0F4"/>
                  <w:tcMar>
                    <w:top w:w="24" w:type="dxa"/>
                    <w:start w:w="28" w:type="dxa"/>
                    <w:bottom w:w="24" w:type="dxa"/>
                    <w:end w:w="28" w:type="dxa"/>
                  </w:tcMar>
                  <w:tcBorders>
                    <w:bottom w:sz="2" w:val="single" w:color="DCE3E7"/>
                  </w:tcBorders>
                  <w:vAlign w:val="center"/>
                </w:tcPr>
                <w:p>
                  <w:pPr>
                    <w:spacing w:after="0" w:before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color w:val="111111"/>
                      <w:sz w:val="12"/>
                    </w:rPr>
                    <w:t>Current / consensus</w:t>
                  </w:r>
                </w:p>
              </w:tc>
              <w:tc>
                <w:tcPr>
                  <w:tcW w:type="dxa" w:w="1137"/>
                  <w:shd w:fill="EAF0F4"/>
                  <w:tcMar>
                    <w:top w:w="24" w:type="dxa"/>
                    <w:start w:w="28" w:type="dxa"/>
                    <w:bottom w:w="24" w:type="dxa"/>
                    <w:end w:w="28" w:type="dxa"/>
                  </w:tcMar>
                  <w:tcBorders>
                    <w:bottom w:sz="2" w:val="single" w:color="DCE3E7"/>
                  </w:tcBorders>
                  <w:vAlign w:val="center"/>
                </w:tcPr>
                <w:p>
                  <w:pPr>
                    <w:spacing w:after="0" w:before="0"/>
                    <w:jc w:val="right"/>
                  </w:pPr>
                  <w:r/>
                  <w:r>
                    <w:rPr>
                      <w:rFonts w:ascii="Arial" w:hAnsi="Arial"/>
                      <w:b w:val="0"/>
                      <w:color w:val="111111"/>
                      <w:sz w:val="12"/>
                    </w:rPr>
                    <w:t>45.2x</w:t>
                  </w:r>
                </w:p>
              </w:tc>
              <w:tc>
                <w:tcPr>
                  <w:tcW w:type="dxa" w:w="1238"/>
                  <w:shd w:fill="EAF0F4"/>
                  <w:tcMar>
                    <w:top w:w="24" w:type="dxa"/>
                    <w:start w:w="28" w:type="dxa"/>
                    <w:bottom w:w="24" w:type="dxa"/>
                    <w:end w:w="28" w:type="dxa"/>
                  </w:tcMar>
                  <w:tcBorders>
                    <w:bottom w:sz="2" w:val="single" w:color="DCE3E7"/>
                  </w:tcBorders>
                  <w:vAlign w:val="center"/>
                </w:tcPr>
                <w:p>
                  <w:pPr>
                    <w:spacing w:after="0" w:before="0"/>
                    <w:jc w:val="right"/>
                  </w:pPr>
                  <w:r/>
                  <w:r>
                    <w:rPr>
                      <w:rFonts w:ascii="Arial" w:hAnsi="Arial"/>
                      <w:b w:val="0"/>
                      <w:color w:val="111111"/>
                      <w:sz w:val="12"/>
                    </w:rPr>
                    <w:t>32.7x</w:t>
                  </w:r>
                </w:p>
              </w:tc>
            </w:tr>
            <w:tr>
              <w:tc>
                <w:tcPr>
                  <w:tcW w:type="dxa" w:w="1670"/>
                  <w:vAlign w:val="center"/>
                </w:tcPr>
                <w:p>
                  <w:pPr>
                    <w:spacing w:after="0" w:before="0"/>
                    <w:jc w:val="left"/>
                  </w:pPr>
                  <w:r/>
                  <w:r>
                    <w:rPr>
                      <w:rFonts w:ascii="Arial" w:hAnsi="Arial"/>
                      <w:b/>
                      <w:color w:val="183B56"/>
                      <w:sz w:val="12"/>
                    </w:rPr>
                    <w:t>Base target [A]</w:t>
                  </w:r>
                </w:p>
              </w:tc>
              <w:tc>
                <w:tcPr>
                  <w:tcW w:type="dxa" w:w="1670"/>
                  <w:vAlign w:val="center"/>
                </w:tcPr>
                <w:p>
                  <w:pPr>
                    <w:spacing w:after="0" w:before="0"/>
                    <w:jc w:val="right"/>
                  </w:pPr>
                  <w:r/>
                  <w:r>
                    <w:rPr>
                      <w:rFonts w:ascii="Arial" w:hAnsi="Arial"/>
                      <w:b/>
                      <w:color w:val="183B56"/>
                      <w:sz w:val="12"/>
                    </w:rPr>
                    <w:t>47.0x</w:t>
                  </w:r>
                </w:p>
              </w:tc>
              <w:tc>
                <w:tcPr>
                  <w:tcW w:type="dxa" w:w="1670"/>
                  <w:vAlign w:val="center"/>
                </w:tcPr>
                <w:p>
                  <w:pPr>
                    <w:spacing w:after="0" w:before="0"/>
                    <w:jc w:val="right"/>
                  </w:pPr>
                  <w:r/>
                  <w:r>
                    <w:rPr>
                      <w:rFonts w:ascii="Arial" w:hAnsi="Arial"/>
                      <w:b/>
                      <w:color w:val="183B56"/>
                      <w:sz w:val="12"/>
                    </w:rPr>
                    <w:t>33.5x</w:t>
                  </w:r>
                </w:p>
              </w:tc>
            </w:tr>
          </w:tbl>
          <w:p>
            <w:pPr>
              <w:spacing w:after="0" w:before="0"/>
            </w:pPr>
          </w:p>
          <w:p>
            <w:pPr>
              <w:spacing w:before="0" w:after="0" w:line="228" w:lineRule="auto"/>
            </w:pPr>
            <w:r>
              <w:rPr>
                <w:rFonts w:ascii="Arial" w:hAnsi="Arial"/>
                <w:b/>
                <w:i w:val="0"/>
                <w:color w:val="183B56"/>
                <w:sz w:val="13"/>
              </w:rPr>
              <w:t xml:space="preserve">Target: </w:t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  <w:t>CHF 703m 2027E EBITDA x 33.5x = CHF 23.55bn enterprise value; approximately zero net debt and 30.0m shares = CHF 785. The target multiple is only 0.8x above spot consensus; c.90% of upside comes from our earnings estimate gap.</w:t>
            </w:r>
          </w:p>
        </w:tc>
      </w:tr>
    </w:tbl>
    <w:p>
      <w:pPr>
        <w:spacing w:before="12" w:after="0" w:line="240" w:lineRule="auto"/>
      </w:pPr>
      <w:r>
        <w:rPr>
          <w:rFonts w:ascii="Arial" w:hAnsi="Arial"/>
          <w:b/>
          <w:i w:val="0"/>
          <w:color w:val="183B56"/>
          <w:sz w:val="15"/>
        </w:rPr>
        <w:t>3  BULL / BASE / BEAR AND EXPECTED VALUE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2721"/>
        <w:gridCol w:w="2721"/>
        <w:gridCol w:w="2721"/>
      </w:tblGrid>
      <w:tr>
        <w:trPr>
          <w:cantSplit/>
        </w:trPr>
        <w:tc>
          <w:tcPr>
            <w:tcW w:type="dxa" w:w="2534"/>
            <w:shd w:fill="A23E48"/>
            <w:tcMar>
              <w:top w:w="40" w:type="dxa"/>
              <w:start w:w="50" w:type="dxa"/>
              <w:bottom w:w="40" w:type="dxa"/>
              <w:end w:w="50" w:type="dxa"/>
            </w:tcMar>
            <w:tcBorders>
              <w:left w:sz="3" w:val="single" w:color="B8C4CC"/>
              <w:bottom w:sz="3" w:val="single" w:color="B8C4CC"/>
              <w:right w:sz="3" w:val="single" w:color="B8C4CC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BEAR - 15%</w:t>
              <w:br/>
              <w:t>CHF 420</w:t>
            </w:r>
          </w:p>
        </w:tc>
        <w:tc>
          <w:tcPr>
            <w:tcW w:type="dxa" w:w="2534"/>
            <w:shd w:fill="2B9C91"/>
            <w:tcMar>
              <w:top w:w="40" w:type="dxa"/>
              <w:start w:w="50" w:type="dxa"/>
              <w:bottom w:w="40" w:type="dxa"/>
              <w:end w:w="50" w:type="dxa"/>
            </w:tcMar>
            <w:tcBorders>
              <w:left w:sz="3" w:val="single" w:color="B8C4CC"/>
              <w:bottom w:sz="3" w:val="single" w:color="B8C4CC"/>
              <w:right w:sz="3" w:val="single" w:color="B8C4CC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BASE - 55%</w:t>
              <w:br/>
              <w:t>CHF 785</w:t>
            </w:r>
          </w:p>
        </w:tc>
        <w:tc>
          <w:tcPr>
            <w:tcW w:type="dxa" w:w="2534"/>
            <w:shd w:fill="2E6E5A"/>
            <w:tcMar>
              <w:top w:w="40" w:type="dxa"/>
              <w:start w:w="50" w:type="dxa"/>
              <w:bottom w:w="40" w:type="dxa"/>
              <w:end w:w="50" w:type="dxa"/>
            </w:tcMar>
            <w:tcBorders>
              <w:left w:sz="3" w:val="single" w:color="B8C4CC"/>
              <w:bottom w:sz="3" w:val="single" w:color="B8C4CC"/>
              <w:right w:sz="3" w:val="single" w:color="B8C4CC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BULL - 30%</w:t>
              <w:br/>
              <w:t>CHF 970</w:t>
            </w:r>
          </w:p>
        </w:tc>
        <w:tc>
          <w:tcPr>
            <w:tcW w:type="dxa" w:w="2534"/>
            <w:shd w:fill="A8762B"/>
            <w:tcMar>
              <w:top w:w="40" w:type="dxa"/>
              <w:start w:w="50" w:type="dxa"/>
              <w:bottom w:w="40" w:type="dxa"/>
              <w:end w:w="50" w:type="dxa"/>
            </w:tcMar>
            <w:tcBorders>
              <w:left w:sz="3" w:val="single" w:color="B8C4CC"/>
              <w:bottom w:sz="3" w:val="single" w:color="B8C4CC"/>
              <w:right w:sz="3" w:val="single" w:color="B8C4CC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EXPECTED VALUE</w:t>
              <w:br/>
              <w:t>CHF 786</w:t>
            </w:r>
          </w:p>
        </w:tc>
      </w:tr>
      <w:tr>
        <w:trPr>
          <w:cantSplit/>
        </w:trPr>
        <w:tc>
          <w:tcPr>
            <w:tcW w:type="dxa" w:w="2534"/>
            <w:shd w:fill="F5F7F8"/>
            <w:tcMar>
              <w:top w:w="40" w:type="dxa"/>
              <w:start w:w="50" w:type="dxa"/>
              <w:bottom w:w="40" w:type="dxa"/>
              <w:end w:w="50" w:type="dxa"/>
            </w:tcMar>
            <w:tcBorders>
              <w:left w:sz="3" w:val="single" w:color="B8C4CC"/>
              <w:bottom w:sz="3" w:val="single" w:color="B8C4CC"/>
              <w:right w:sz="3" w:val="single" w:color="B8C4CC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3"/>
              </w:rPr>
              <w:t>1.55bn revenue | 31% margin | 26x</w:t>
            </w:r>
          </w:p>
        </w:tc>
        <w:tc>
          <w:tcPr>
            <w:tcW w:type="dxa" w:w="2534"/>
            <w:shd w:fill="F5F7F8"/>
            <w:tcMar>
              <w:top w:w="40" w:type="dxa"/>
              <w:start w:w="50" w:type="dxa"/>
              <w:bottom w:w="40" w:type="dxa"/>
              <w:end w:w="50" w:type="dxa"/>
            </w:tcMar>
            <w:tcBorders>
              <w:left w:sz="3" w:val="single" w:color="B8C4CC"/>
              <w:bottom w:sz="3" w:val="single" w:color="B8C4CC"/>
              <w:right w:sz="3" w:val="single" w:color="B8C4CC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3"/>
              </w:rPr>
              <w:t>1.90bn revenue | 37% margin | 33.5x</w:t>
            </w:r>
          </w:p>
        </w:tc>
        <w:tc>
          <w:tcPr>
            <w:tcW w:type="dxa" w:w="2534"/>
            <w:shd w:fill="F5F7F8"/>
            <w:tcMar>
              <w:top w:w="40" w:type="dxa"/>
              <w:start w:w="50" w:type="dxa"/>
              <w:bottom w:w="40" w:type="dxa"/>
              <w:end w:w="50" w:type="dxa"/>
            </w:tcMar>
            <w:tcBorders>
              <w:left w:sz="3" w:val="single" w:color="B8C4CC"/>
              <w:bottom w:sz="3" w:val="single" w:color="B8C4CC"/>
              <w:right w:sz="3" w:val="single" w:color="B8C4CC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3"/>
              </w:rPr>
              <w:t>2.10bn revenue | 38.5% margin | 36x</w:t>
            </w:r>
          </w:p>
        </w:tc>
        <w:tc>
          <w:tcPr>
            <w:tcW w:type="dxa" w:w="2534"/>
            <w:shd w:fill="F5F7F8"/>
            <w:tcMar>
              <w:top w:w="40" w:type="dxa"/>
              <w:start w:w="50" w:type="dxa"/>
              <w:bottom w:w="40" w:type="dxa"/>
              <w:end w:w="50" w:type="dxa"/>
            </w:tcMar>
            <w:tcBorders>
              <w:left w:sz="3" w:val="single" w:color="B8C4CC"/>
              <w:bottom w:sz="3" w:val="single" w:color="B8C4CC"/>
              <w:right w:sz="3" w:val="single" w:color="B8C4CC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11111"/>
                <w:sz w:val="13"/>
              </w:rPr>
              <w:t>Rounded target: CHF 785 | +30%</w:t>
            </w:r>
          </w:p>
        </w:tc>
      </w:tr>
    </w:tbl>
    <w:p>
      <w:pPr>
        <w:spacing w:before="10" w:after="0" w:line="240" w:lineRule="auto"/>
      </w:pPr>
      <w:r>
        <w:rPr>
          <w:rFonts w:ascii="Arial" w:hAnsi="Arial"/>
          <w:b/>
          <w:i w:val="0"/>
          <w:color w:val="183B56"/>
          <w:sz w:val="15"/>
        </w:rPr>
        <w:t>4  OPERATING EVIDENCE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86"/>
      </w:tblGrid>
      <w:tr>
        <w:trPr>
          <w:cantSplit/>
        </w:trPr>
        <w:tc>
          <w:tcPr>
            <w:tcW w:type="dxa" w:w="10886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sz w:val="15"/>
              </w:rPr>
              <w:drawing>
                <wp:inline xmlns:a="http://schemas.openxmlformats.org/drawingml/2006/main" xmlns:pic="http://schemas.openxmlformats.org/drawingml/2006/picture">
                  <wp:extent cx="6583680" cy="218543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at_orders_revenue_backlog_bull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0" cy="21854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10886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sz w:val="15"/>
              </w:rPr>
              <w:drawing>
                <wp:inline xmlns:a="http://schemas.openxmlformats.org/drawingml/2006/main" xmlns:pic="http://schemas.openxmlformats.org/drawingml/2006/picture">
                  <wp:extent cx="6583680" cy="218543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at_margin_eps_bull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0" cy="21854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0" w:after="0" w:line="228" w:lineRule="auto"/>
      </w:pPr>
      <w:r>
        <w:rPr>
          <w:rFonts w:ascii="Arial" w:hAnsi="Arial"/>
          <w:b w:val="0"/>
          <w:i w:val="0"/>
          <w:color w:val="6B7780"/>
          <w:sz w:val="11"/>
        </w:rPr>
        <w:t>Sources: VAT historical and H1 2026 data from company reports; consensus and peer valuation snapshots from MarketScreener (late July/early August 2026; fiscal year-ends differ); share price CHF 602 from uploaded deck dated 31 July 2026; analyst estimates and calculations. Peer multiples should be refreshed immediately before presentation.</w:t>
      </w:r>
    </w:p>
    <w:sectPr w:rsidR="00FC693F" w:rsidRPr="0006063C" w:rsidSect="00034616">
      <w:footerReference w:type="default" r:id="rId9"/>
      <w:pgSz w:w="11906" w:h="16838"/>
      <w:pgMar w:top="482" w:right="510" w:bottom="510" w:left="510" w:header="170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152" w:val="right"/>
      </w:tabs>
      <w:spacing w:before="0" w:after="0"/>
      <w:jc w:val="left"/>
    </w:pPr>
    <w:r>
      <w:rPr>
        <w:rFonts w:ascii="Arial" w:hAnsi="Arial" w:eastAsia="Arial"/>
        <w:b/>
        <w:i w:val="0"/>
        <w:color w:val="6B7780"/>
        <w:sz w:val="11"/>
      </w:rPr>
      <w:t>VAT GROUP AG | ASSOCIATE STOCK PITCH | 4 AUGUST 2026</w:t>
    </w:r>
    <w:r>
      <w:rPr>
        <w:rFonts w:ascii="Arial" w:hAnsi="Arial" w:eastAsia="Arial"/>
        <w:b w:val="0"/>
        <w:i w:val="0"/>
        <w:color w:val="6B7780"/>
        <w:sz w:val="11"/>
      </w:rPr>
      <w:tab/>
    </w:r>
    <w:r>
      <w:rPr>
        <w:rFonts w:ascii="Arial" w:hAnsi="Arial" w:eastAsia="Arial"/>
        <w:b/>
        <w:i w:val="0"/>
        <w:color w:val="6B7780"/>
        <w:sz w:val="11"/>
      </w:rPr>
      <w:t xml:space="preserve">PAGE </w:t>
    </w:r>
    <w:r>
      <w:fldChar w:fldCharType="begin"/>
      <w:instrText xml:space="preserve"> PAGE </w:instrText>
      <w:fldChar w:fldCharType="end"/>
    </w:r>
    <w:r>
      <w:rPr>
        <w:rFonts w:ascii="Arial" w:hAnsi="Arial" w:eastAsia="Arial"/>
        <w:b/>
        <w:i w:val="0"/>
        <w:color w:val="6B7780"/>
        <w:sz w:val="11"/>
      </w:rPr>
      <w:t xml:space="preserve"> / 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VAT Group AG Stock Pitch — 4 August 2026</dc:title>
  <dc:subject>Associate Stock Pitch Roundtable</dc:subject>
  <dc:creator/>
  <cp:keywords>VAT Group, VACN, semiconductor equipment, stock pitch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