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i w:val="0"/>
          <w:color w:val="23272A"/>
          <w:sz w:val="30"/>
        </w:rPr>
        <w:t>VAT GROUP AG</w:t>
      </w:r>
      <w:r>
        <w:rPr>
          <w:rFonts w:ascii="Arial" w:hAnsi="Arial"/>
          <w:b/>
          <w:i w:val="0"/>
          <w:color w:val="5A6066"/>
          <w:sz w:val="16"/>
        </w:rPr>
        <w:t xml:space="preserve">  |  SIX: VACN</w:t>
      </w:r>
    </w:p>
    <w:p>
      <w:pPr>
        <w:spacing w:after="60"/>
      </w:pPr>
      <w:r>
        <w:rPr>
          <w:rFonts w:ascii="Arial" w:hAnsi="Arial"/>
          <w:b/>
          <w:i w:val="0"/>
          <w:color w:val="23272A"/>
          <w:sz w:val="23"/>
        </w:rPr>
        <w:t>The market sees the moat; we think it still underestimates the earnings conversion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72"/>
        <w:gridCol w:w="2172"/>
        <w:gridCol w:w="2172"/>
        <w:gridCol w:w="2172"/>
        <w:gridCol w:w="2172"/>
      </w:tblGrid>
      <w:tr>
        <w:tc>
          <w:tcPr>
            <w:tcW w:type="dxa" w:w="2172"/>
            <w:shd w:fill="1B9BDA"/>
            <w:tcMar>
              <w:top w:w="48" w:type="dxa"/>
              <w:start w:w="50" w:type="dxa"/>
              <w:bottom w:w="48" w:type="dxa"/>
              <w:end w:w="5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OUTPERFORM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EEF8FD"/>
                <w:sz w:val="12"/>
              </w:rPr>
              <w:t>Rating</w:t>
            </w:r>
          </w:p>
        </w:tc>
        <w:tc>
          <w:tcPr>
            <w:tcW w:type="dxa" w:w="2172"/>
            <w:shd w:fill="EAF5FB"/>
            <w:tcMar>
              <w:top w:w="48" w:type="dxa"/>
              <w:start w:w="50" w:type="dxa"/>
              <w:bottom w:w="48" w:type="dxa"/>
              <w:end w:w="5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72A"/>
                <w:sz w:val="18"/>
              </w:rPr>
              <w:t>CHF 611.4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A6066"/>
                <w:sz w:val="12"/>
              </w:rPr>
              <w:t>Ref. price</w:t>
            </w:r>
          </w:p>
        </w:tc>
        <w:tc>
          <w:tcPr>
            <w:tcW w:type="dxa" w:w="2172"/>
            <w:shd w:fill="EAF5FB"/>
            <w:tcMar>
              <w:top w:w="48" w:type="dxa"/>
              <w:start w:w="50" w:type="dxa"/>
              <w:bottom w:w="48" w:type="dxa"/>
              <w:end w:w="5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72A"/>
                <w:sz w:val="18"/>
              </w:rPr>
              <w:t>CHF 800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A6066"/>
                <w:sz w:val="12"/>
              </w:rPr>
              <w:t>Target price</w:t>
            </w:r>
          </w:p>
        </w:tc>
        <w:tc>
          <w:tcPr>
            <w:tcW w:type="dxa" w:w="2172"/>
            <w:shd w:fill="EAF5FB"/>
            <w:tcMar>
              <w:top w:w="48" w:type="dxa"/>
              <w:start w:w="50" w:type="dxa"/>
              <w:bottom w:w="48" w:type="dxa"/>
              <w:end w:w="5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72A"/>
                <w:sz w:val="18"/>
              </w:rPr>
              <w:t>+31%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A6066"/>
                <w:sz w:val="12"/>
              </w:rPr>
              <w:t>Upside</w:t>
            </w:r>
          </w:p>
        </w:tc>
        <w:tc>
          <w:tcPr>
            <w:tcW w:type="dxa" w:w="2172"/>
            <w:shd w:fill="EAF5FB"/>
            <w:tcMar>
              <w:top w:w="48" w:type="dxa"/>
              <w:start w:w="50" w:type="dxa"/>
              <w:bottom w:w="48" w:type="dxa"/>
              <w:end w:w="50" w:type="dxa"/>
            </w:tcMar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72A"/>
                <w:sz w:val="18"/>
              </w:rPr>
              <w:t>~CHF 18.3bn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5A6066"/>
                <w:sz w:val="12"/>
              </w:rPr>
              <w:t>Market cap</w:t>
            </w:r>
          </w:p>
        </w:tc>
      </w:tr>
    </w:tbl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INVESTMENT THESIS</w:t>
      </w:r>
    </w:p>
    <w:p>
      <w:pPr>
        <w:spacing w:after="40" w:line="240" w:lineRule="auto"/>
      </w:pPr>
      <w:r>
        <w:rPr>
          <w:rFonts w:ascii="Arial" w:hAnsi="Arial"/>
          <w:b w:val="0"/>
          <w:i w:val="0"/>
          <w:color w:val="23272A"/>
          <w:sz w:val="16"/>
        </w:rPr>
        <w:t xml:space="preserve">VAT is the dominant supplier of vacuum-control components used inside semiconductor manufacturing equipment. </w:t>
      </w:r>
      <w:r>
        <w:rPr>
          <w:rFonts w:ascii="Arial" w:hAnsi="Arial"/>
          <w:b w:val="0"/>
          <w:i w:val="0"/>
          <w:color w:val="23272A"/>
          <w:sz w:val="16"/>
        </w:rPr>
        <w:t xml:space="preserve">Its products are low cost relative to a semiconductor tool but high consequence if they fail, which supports a qualification-driven market position with &gt;70% share in semiconductor vacuum valves. </w:t>
      </w:r>
      <w:r>
        <w:rPr>
          <w:rFonts w:ascii="Arial" w:hAnsi="Arial"/>
          <w:b/>
          <w:i w:val="0"/>
          <w:color w:val="23272A"/>
          <w:sz w:val="16"/>
        </w:rPr>
        <w:t xml:space="preserve">The stock debate is now less about demand and more about conversion: </w:t>
      </w:r>
      <w:r>
        <w:rPr>
          <w:rFonts w:ascii="Arial" w:hAnsi="Arial"/>
          <w:b w:val="0"/>
          <w:i w:val="0"/>
          <w:color w:val="23272A"/>
          <w:sz w:val="16"/>
        </w:rPr>
        <w:t xml:space="preserve">H1 2026 orders rose 75% to CHF856m and backlog reached CHF648m, while sales were CHF512m. VAT is adding capacity to close that gap. </w:t>
      </w:r>
      <w:r>
        <w:rPr>
          <w:rFonts w:ascii="Arial" w:hAnsi="Arial"/>
          <w:b/>
          <w:i w:val="0"/>
          <w:color w:val="1B9BDA"/>
          <w:sz w:val="16"/>
        </w:rPr>
        <w:t>Our CHF800 target implies ~31% upside.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VARIANT PERCEPTION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1. Demand is already visible; execution is the swing factor. H1 orders of CHF856m exceeded sales by ~67%, and backlog rose 121% YoY. VAT is targeting a quarterly factory run-rate above CHF450m by year-end versus ~CHF320m at June-end.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2. VAT can outgrow WFE, not just participate in it. SEMI now forecasts WFE of US$143.9bn in 2026 (+23%) with further strong growth through 2028. Advanced logic, HBM/DRAM and higher-layer NAND raise the intensity of deposition, etch and vacuum-control requirements.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3. H1 margin pressure should not be annualised. VAT added &gt;700 FTEs in H1, mostly in production or adjacent roles. The current cost drag is the price of building capacity ahead of shipments; the thesis requires utilisation and fixed-cost absorption to improve in H2/2027.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MARKET SENTIMENT AND SETUP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Quality is not the variant. VAT is widely recognised as a scarce semiconductor component franchise; the stock reached CHF727.2 in July before falling sharply around H1 results.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The setup is now more balanced. The H1 print exposed the tension between record demand and weak near-term sales/margins, putting the burden of proof on the factory ramp rather than on the AI/WFE thesis.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At our CHF611.4 reference price, the stock still screens expensive on near-term earnings. We therefore need estimate upside, not simply multiple expansion, to reach CHF800.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CATALYSTS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Q3 trading update (15 Oct 2026): sales guidance of CHF355-385m is the first clean test of backlog conversion.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H2 margin recovery: higher throughput should begin to absorb the H1 hiring and ramp costs.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2027 estimate revisions: stronger WFE, sustained orders and a &gt;CHF450m quarterly run-rate could move FY27/FY28 revenue and EBITDA above current consensus.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RISKS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Capacity execution: quality, supplier bottlenecks or delivery misses during a rapid factory ramp.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Semiconductor cyclicality: a memory/logic capex correction can hit orders well before reported revenue.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Backlog quality: customer deferrals/cancellations or double ordering would reduce conversion.</w:t>
      </w:r>
    </w:p>
    <w:p>
      <w:pPr>
        <w:spacing w:after="20" w:line="240" w:lineRule="auto"/>
        <w:ind w:left="230" w:hanging="144"/>
      </w:pPr>
      <w:r>
        <w:rPr>
          <w:rFonts w:ascii="Arial" w:hAnsi="Arial"/>
          <w:b/>
          <w:i w:val="0"/>
          <w:color w:val="1B9BDA"/>
          <w:sz w:val="16"/>
        </w:rPr>
        <w:t xml:space="preserve">• </w:t>
      </w:r>
      <w:r>
        <w:rPr>
          <w:rFonts w:ascii="Arial" w:hAnsi="Arial"/>
          <w:b w:val="0"/>
          <w:i w:val="0"/>
          <w:color w:val="23272A"/>
          <w:sz w:val="16"/>
        </w:rPr>
        <w:t>Strategic/valuation risk: second sourcing, lost spec wins or a de-rating if earnings fail to catch up.</w:t>
      </w:r>
    </w:p>
    <w:p>
      <w:pPr>
        <w:spacing w:before="40" w:after="0"/>
      </w:pPr>
      <w:r>
        <w:rPr>
          <w:rFonts w:ascii="Arial" w:hAnsi="Arial"/>
          <w:b w:val="0"/>
          <w:i/>
          <w:color w:val="5A6066"/>
          <w:sz w:val="13"/>
        </w:rPr>
        <w:t>Sources: VAT Group FY2025 results; VAT Group H1 2026 results (22 Jul 2026); VAT Capital Markets Day 2025; SEMI Mid-Year Equipment Forecast (14 Jul 2026); MarketScreener consensus (Jul 2026); Investing.com VACN price (28 Jul 2026); VAT Group: Semiconductor Industry 101. Ref. price is the latest reliably retrieved market close used for this draft.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i w:val="0"/>
          <w:color w:val="23272A"/>
          <w:sz w:val="25"/>
        </w:rPr>
        <w:t>VAT GROUP AG — RISK/REWARD, EVENT PATH &amp; VALUATION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RISK / REWARD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2"/>
        <w:gridCol w:w="2172"/>
        <w:gridCol w:w="2172"/>
        <w:gridCol w:w="2172"/>
        <w:gridCol w:w="2172"/>
      </w:tblGrid>
      <w:tr>
        <w:trPr>
          <w:trHeight w:hRule="atLeast"/>
          <w:tblHeader w:val="true"/>
        </w:trPr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Scenario</w:t>
            </w:r>
          </w:p>
        </w:tc>
        <w:tc>
          <w:tcPr>
            <w:tcW w:type="dxa" w:w="10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Probability</w:t>
            </w:r>
          </w:p>
        </w:tc>
        <w:tc>
          <w:tcPr>
            <w:tcW w:type="dxa" w:w="48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What has to happen</w:t>
            </w:r>
          </w:p>
        </w:tc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Value/share</w:t>
            </w:r>
          </w:p>
        </w:tc>
        <w:tc>
          <w:tcPr>
            <w:tcW w:type="dxa" w:w="15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Upside/(downside)</w:t>
            </w:r>
          </w:p>
        </w:tc>
      </w:tr>
      <w:tr>
        <w:trPr>
          <w:trHeight w:hRule="atLeast"/>
        </w:trPr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Bull</w:t>
            </w:r>
          </w:p>
        </w:tc>
        <w:tc>
          <w:tcPr>
            <w:tcW w:type="dxa" w:w="10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20%</w:t>
            </w:r>
          </w:p>
        </w:tc>
        <w:tc>
          <w:tcPr>
            <w:tcW w:type="dxa" w:w="48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WFE remains very strong; backlog converts cleanly; margin reaches top end of range</w:t>
            </w:r>
          </w:p>
        </w:tc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CHF950</w:t>
            </w:r>
          </w:p>
        </w:tc>
        <w:tc>
          <w:tcPr>
            <w:tcW w:type="dxa" w:w="15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+55%</w:t>
            </w:r>
          </w:p>
        </w:tc>
      </w:tr>
      <w:tr>
        <w:trPr>
          <w:trHeight w:hRule="atLeast"/>
        </w:trPr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EAF5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Base</w:t>
            </w:r>
          </w:p>
        </w:tc>
        <w:tc>
          <w:tcPr>
            <w:tcW w:type="dxa" w:w="10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EAF5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60%</w:t>
            </w:r>
          </w:p>
        </w:tc>
        <w:tc>
          <w:tcPr>
            <w:tcW w:type="dxa" w:w="48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EAF5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Capacity ramp executes; VAT outgrows WFE; FY28 EBITDA ~CHF760m</w:t>
            </w:r>
          </w:p>
        </w:tc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EAF5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CHF800</w:t>
            </w:r>
          </w:p>
        </w:tc>
        <w:tc>
          <w:tcPr>
            <w:tcW w:type="dxa" w:w="15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EAF5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+31%</w:t>
            </w:r>
          </w:p>
        </w:tc>
      </w:tr>
      <w:tr>
        <w:trPr>
          <w:trHeight w:hRule="atLeast"/>
        </w:trPr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Bear</w:t>
            </w:r>
          </w:p>
        </w:tc>
        <w:tc>
          <w:tcPr>
            <w:tcW w:type="dxa" w:w="10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20%</w:t>
            </w:r>
          </w:p>
        </w:tc>
        <w:tc>
          <w:tcPr>
            <w:tcW w:type="dxa" w:w="48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WFE rolls over; orders weaken; ramp costs hold margin near ~30%</w:t>
            </w:r>
          </w:p>
        </w:tc>
        <w:tc>
          <w:tcPr>
            <w:tcW w:type="dxa" w:w="1224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CHF450</w:t>
            </w:r>
          </w:p>
        </w:tc>
        <w:tc>
          <w:tcPr>
            <w:tcW w:type="dxa" w:w="15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(26%)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i w:val="0"/>
          <w:color w:val="1B9BDA"/>
          <w:sz w:val="16"/>
        </w:rPr>
        <w:t xml:space="preserve">Probability-weighted value: ~CHF760/share (~24% upside). </w:t>
      </w:r>
      <w:r>
        <w:rPr>
          <w:rFonts w:ascii="Arial" w:hAnsi="Arial"/>
          <w:b w:val="0"/>
          <w:i w:val="0"/>
          <w:color w:val="23272A"/>
          <w:sz w:val="16"/>
        </w:rPr>
        <w:t>The asymmetry is attractive, but the base case still requires clean backlog conversion and sustained premium valuation.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EVENT PATH — WHAT TELLS US THE THESIS IS TRACKING?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rPr>
          <w:trHeight w:hRule="atLeast"/>
          <w:tblHeader w:val="true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4"/>
              </w:rPr>
              <w:t>Signpost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4"/>
              </w:rPr>
              <w:t>What we need to see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4"/>
              </w:rPr>
              <w:t>What would worry us</w:t>
            </w:r>
          </w:p>
        </w:tc>
      </w:tr>
      <w:tr>
        <w:trPr>
          <w:trHeight w:hRule="atLeast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Q3 sales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CHF355-385m guidance met / exceeded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Another material shipment miss</w:t>
            </w:r>
          </w:p>
        </w:tc>
      </w:tr>
      <w:tr>
        <w:trPr>
          <w:trHeight w:hRule="atLeast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Backlog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Stays elevated as sales accelerate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Orders roll over before conversion</w:t>
            </w:r>
          </w:p>
        </w:tc>
      </w:tr>
      <w:tr>
        <w:trPr>
          <w:trHeight w:hRule="atLeast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Factory run-rate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Clear path to &gt;CHF450m/qtr by YE26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Supplier or capacity bottlenecks</w:t>
            </w:r>
          </w:p>
        </w:tc>
      </w:tr>
      <w:tr>
        <w:trPr>
          <w:trHeight w:hRule="atLeast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EBITDA margin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Recovery from H1 29.0% as volume rises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Ramp costs remain structurally high</w:t>
            </w:r>
          </w:p>
        </w:tc>
      </w:tr>
      <w:tr>
        <w:trPr>
          <w:trHeight w:hRule="atLeast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2027 revenue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Tracking to / above CHF1.5-1.7bn target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Capacity available but demand softens</w:t>
            </w:r>
          </w:p>
        </w:tc>
      </w:tr>
      <w:tr>
        <w:trPr>
          <w:trHeight w:hRule="atLeast"/>
        </w:trPr>
        <w:tc>
          <w:tcPr>
            <w:tcW w:type="dxa" w:w="1728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Spec wins / share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Leadership retained on next platforms</w:t>
            </w:r>
          </w:p>
        </w:tc>
        <w:tc>
          <w:tcPr>
            <w:tcW w:type="dxa" w:w="453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4"/>
              </w:rPr>
              <w:t>Second sourcing / share loss</w:t>
            </w:r>
          </w:p>
        </w:tc>
      </w:tr>
    </w:tbl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KEY FINANCIALS / KPIS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2"/>
        <w:gridCol w:w="2172"/>
        <w:gridCol w:w="2172"/>
        <w:gridCol w:w="2172"/>
        <w:gridCol w:w="2172"/>
      </w:tblGrid>
      <w:tr>
        <w:trPr>
          <w:trHeight w:hRule="atLeast"/>
          <w:tblHeader w:val="true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CHF m except % / x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2024A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2025A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2026E Cons.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DDF0F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23272A"/>
                <w:sz w:val="15"/>
              </w:rPr>
              <w:t>2027E Cons.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Revenue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942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1,074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1,284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1,655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Growth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6%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14%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20%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29%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EBITDA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294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322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430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599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EBITDA margin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31.2%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30.0%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33.5%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36.2%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Net income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212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214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307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436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EPS (CHF)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7.06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7.15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~10.2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~14.5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EV/EBITDA*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—</w:t>
            </w:r>
          </w:p>
        </w:tc>
        <w:tc>
          <w:tcPr>
            <w:tcW w:type="dxa" w:w="16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—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~43x</w:t>
            </w:r>
          </w:p>
        </w:tc>
        <w:tc>
          <w:tcPr>
            <w:tcW w:type="dxa" w:w="201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~31x</w:t>
            </w:r>
          </w:p>
        </w:tc>
      </w:tr>
    </w:tbl>
    <w:p>
      <w:pPr>
        <w:spacing w:before="20" w:after="0"/>
      </w:pPr>
      <w:r>
        <w:rPr>
          <w:rFonts w:ascii="Arial" w:hAnsi="Arial"/>
          <w:b w:val="0"/>
          <w:i/>
          <w:color w:val="5A6066"/>
          <w:sz w:val="13"/>
        </w:rPr>
        <w:t>*Forward EV/EBITDA uses the CHF611.4 reference price and H1 2026 net debt; it is a simple spot valuation check, not a forecast of future net debt.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VALUATION — CHF800 TARGET PRICE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29"/>
        <w:gridCol w:w="5429"/>
      </w:tblGrid>
      <w:tr>
        <w:trPr>
          <w:trHeight w:hRule="atLeast"/>
          <w:tblHeader w:val="true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1B9BD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FY28 analyst case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1B9BDA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</w:r>
          </w:p>
        </w:tc>
      </w:tr>
      <w:tr>
        <w:trPr>
          <w:trHeight w:hRule="atLeast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Revenue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CHF2,050m</w:t>
            </w:r>
          </w:p>
        </w:tc>
      </w:tr>
      <w:tr>
        <w:trPr>
          <w:trHeight w:hRule="atLeast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EBITDA margin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37.0%</w:t>
            </w:r>
          </w:p>
        </w:tc>
      </w:tr>
      <w:tr>
        <w:trPr>
          <w:trHeight w:hRule="atLeast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EBITDA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~CHF759m</w:t>
            </w:r>
          </w:p>
        </w:tc>
      </w:tr>
      <w:tr>
        <w:trPr>
          <w:trHeight w:hRule="atLeast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Target FY28 EV/EBITDA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~31.6x</w:t>
            </w:r>
          </w:p>
        </w:tc>
      </w:tr>
      <w:tr>
        <w:trPr>
          <w:trHeight w:hRule="atLeast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Target equity value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FFFFF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~CHF24.0bn</w:t>
            </w:r>
          </w:p>
        </w:tc>
      </w:tr>
      <w:tr>
        <w:trPr>
          <w:trHeight w:hRule="atLeast"/>
        </w:trPr>
        <w:tc>
          <w:tcPr>
            <w:tcW w:type="dxa" w:w="6912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Target price</w:t>
            </w:r>
          </w:p>
        </w:tc>
        <w:tc>
          <w:tcPr>
            <w:tcW w:type="dxa" w:w="3456"/>
            <w:tcMar>
              <w:top w:w="28" w:type="dxa"/>
              <w:start w:w="45" w:type="dxa"/>
              <w:bottom w:w="28" w:type="dxa"/>
              <w:end w:w="45" w:type="dxa"/>
            </w:tcMar>
            <w:vAlign w:val="center"/>
            <w:shd w:fill="F8FAFB"/>
            <w:tcBorders>
              <w:top w:val="single" w:sz="3" w:color="D9E0E5"/>
              <w:left w:val="single" w:sz="3" w:color="D9E0E5"/>
              <w:bottom w:val="single" w:sz="3" w:color="D9E0E5"/>
              <w:right w:val="single" w:sz="3" w:color="D9E0E5"/>
            </w:tcBorders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color w:val="23272A"/>
                <w:sz w:val="15"/>
              </w:rPr>
              <w:t>CHF800/share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i w:val="0"/>
          <w:color w:val="23272A"/>
          <w:sz w:val="16"/>
        </w:rPr>
        <w:t xml:space="preserve">Methodology. </w:t>
      </w:r>
      <w:r>
        <w:rPr>
          <w:rFonts w:ascii="Arial" w:hAnsi="Arial"/>
          <w:b w:val="0"/>
          <w:i w:val="0"/>
          <w:color w:val="23272A"/>
          <w:sz w:val="16"/>
        </w:rPr>
        <w:t>We value VAT on FY28 EBITDA because FY26 is distorted by the capacity ramp. Our case assumes revenue ~10% above current FY28 consensus and a 37% margin, the top end of VAT's stated 30-37% corridor. The implied multiple is demanding but below a simple 'multiple-only' route to CHF800; most of the upside must therefore come from earnings conversion.</w:t>
      </w:r>
    </w:p>
    <w:p>
      <w:pPr>
        <w:spacing w:after="20"/>
      </w:pPr>
      <w:r>
        <w:rPr>
          <w:rFonts w:ascii="Arial" w:hAnsi="Arial"/>
          <w:b/>
          <w:i w:val="0"/>
          <w:color w:val="23272A"/>
          <w:sz w:val="16"/>
        </w:rPr>
        <w:t xml:space="preserve">Relevant valuation frame. </w:t>
      </w:r>
      <w:r>
        <w:rPr>
          <w:rFonts w:ascii="Arial" w:hAnsi="Arial"/>
          <w:b w:val="0"/>
          <w:i w:val="0"/>
          <w:color w:val="23272A"/>
          <w:sz w:val="16"/>
        </w:rPr>
        <w:t>ASML and KLA are the closest references for scarce technology / qualification economics; Lam and Applied Materials frame WFE exposure; MKS provides a critical-subsystem reference. VAT should trade at a premium to broader equipment/components if it sustains share, margin and ROIC, but the premium is vulnerable in a WFE downturn.</w:t>
      </w:r>
    </w:p>
    <w:p>
      <w:pPr>
        <w:pStyle w:val="SectionHead"/>
        <w:pBdr>
          <w:bottom w:val="single" w:sz="6" w:space="1" w:color="1B9BDA"/>
        </w:pBdr>
      </w:pPr>
      <w:r>
        <w:rPr>
          <w:rFonts w:ascii="Arial" w:hAnsi="Arial"/>
          <w:b/>
          <w:i w:val="0"/>
          <w:color w:val="1B9BDA"/>
          <w:sz w:val="18"/>
        </w:rPr>
        <w:t>BOTTOM LINE</w:t>
      </w:r>
    </w:p>
    <w:p>
      <w:pPr>
        <w:spacing w:after="0"/>
      </w:pPr>
      <w:r>
        <w:rPr>
          <w:rFonts w:ascii="Arial" w:hAnsi="Arial"/>
          <w:b/>
          <w:i w:val="0"/>
          <w:color w:val="1B9BDA"/>
          <w:sz w:val="18"/>
        </w:rPr>
        <w:t xml:space="preserve">OUTPERFORM | CHF800 target. </w:t>
      </w:r>
      <w:r>
        <w:rPr>
          <w:rFonts w:ascii="Arial" w:hAnsi="Arial"/>
          <w:b w:val="0"/>
          <w:i w:val="0"/>
          <w:color w:val="23272A"/>
          <w:sz w:val="16"/>
        </w:rPr>
        <w:t xml:space="preserve">The market already understands that VAT is a high-quality semiconductor franchise. Our variant view is narrower: record orders have created a large gap between demand and reported revenue, and VAT is now building the capacity to close it. If the path is </w:t>
      </w:r>
      <w:r>
        <w:rPr>
          <w:rFonts w:ascii="Arial" w:hAnsi="Arial"/>
          <w:b/>
          <w:i w:val="0"/>
          <w:color w:val="23272A"/>
          <w:sz w:val="16"/>
        </w:rPr>
        <w:t>CHF648m backlog → &gt;CHF450m quarterly run-rate → higher sales → margin recovery</w:t>
      </w:r>
      <w:r>
        <w:rPr>
          <w:rFonts w:ascii="Arial" w:hAnsi="Arial"/>
          <w:b w:val="0"/>
          <w:i w:val="0"/>
          <w:color w:val="23272A"/>
          <w:sz w:val="16"/>
        </w:rPr>
        <w:t>, FY27/FY28 earnings can still move above current expectations. That is the stock call.</w:t>
      </w:r>
    </w:p>
    <w:p>
      <w:pPr>
        <w:spacing w:before="40" w:after="0"/>
      </w:pPr>
      <w:r>
        <w:rPr>
          <w:rFonts w:ascii="Arial" w:hAnsi="Arial"/>
          <w:b w:val="0"/>
          <w:i/>
          <w:color w:val="5A6066"/>
          <w:sz w:val="13"/>
        </w:rPr>
        <w:t>Sources: VAT Group FY2025 results; VAT Group H1 2026 results (22 Jul 2026); VAT Capital Markets Day 2025; SEMI Mid-Year Equipment Forecast (14 Jul 2026); MarketScreener consensus (Jul 2026); Investing.com VACN price (28 Jul 2026). Analyst estimates are explicitly labelled.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691" w:bottom="605" w:left="691" w:header="230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/>
        <w:b w:val="0"/>
        <w:i w:val="0"/>
        <w:color w:val="5A6066"/>
        <w:sz w:val="12"/>
      </w:rPr>
      <w:t xml:space="preserve">VAT GROUP AG  |  </w:t>
    </w:r>
    <w:r>
      <w:rPr>
        <w:rFonts w:ascii="Arial" w:hAnsi="Arial"/>
        <w:color w:val="5A6066"/>
        <w:sz w:val="12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208"/>
      <w:gridCol w:w="2160"/>
    </w:tblGrid>
    <w:tr>
      <w:tc>
        <w:tcPr>
          <w:tcW w:type="dxa" w:w="5184"/>
          <w:tcBorders>
            <w:bottom w:val="single" w:sz="8" w:color="1B9BDA"/>
          </w:tcBorders>
        </w:tcPr>
        <w:p>
          <w:pPr>
            <w:spacing w:after="0"/>
          </w:pPr>
          <w:r>
            <w:rPr>
              <w:rFonts w:ascii="Arial" w:hAnsi="Arial"/>
              <w:b/>
              <w:i w:val="0"/>
              <w:color w:val="5A6066"/>
              <w:sz w:val="13"/>
            </w:rPr>
            <w:t>ASSOCIATE STOCK PITCH ROUNDTABLE | 10 AUG 2026</w:t>
          </w:r>
        </w:p>
      </w:tc>
      <w:tc>
        <w:tcPr>
          <w:tcW w:type="dxa" w:w="5184"/>
          <w:tcBorders>
            <w:bottom w:val="single" w:sz="8" w:color="1B9BDA"/>
          </w:tcBorders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43000" cy="3277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b08a03e-4af6-4181-9828-46f44d67b543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277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23272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">
    <w:name w:val="Section Head"/>
    <w:pPr>
      <w:keepNext/>
      <w:spacing w:before="100" w:after="40"/>
    </w:pPr>
    <w:rPr>
      <w:rFonts w:ascii="Arial" w:hAnsi="Arial"/>
      <w:b/>
      <w:color w:val="1B9BD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