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28"/>
        </w:rPr>
        <w:t>India Pharma Supreme Court Review of Pharmaceutical Marketing Practices</w:t>
      </w:r>
    </w:p>
    <w:p>
      <w:pPr>
        <w:spacing w:after="110" w:line="240" w:lineRule="auto"/>
      </w:pPr>
      <w:r>
        <w:rPr>
          <w:rFonts w:ascii="Arial" w:hAnsi="Arial"/>
          <w:b/>
          <w:color w:val="5B6570"/>
          <w:sz w:val="16"/>
        </w:rPr>
        <w:t>Quick Take  |  8 October 2026</w:t>
      </w:r>
    </w:p>
    <w:p>
      <w:pPr>
        <w:pStyle w:val="Heading1"/>
      </w:pPr>
      <w:r>
        <w:rPr>
          <w:rFonts w:ascii="Arial" w:hAnsi="Arial"/>
          <w:b/>
          <w:color w:val="000000"/>
          <w:sz w:val="18"/>
        </w:rPr>
        <w:t>SUPREME COURT SEEKS A STATUTORY REVIEW OF PHARMA MARKETING</w:t>
      </w:r>
    </w:p>
    <w:p>
      <w:pPr>
        <w:jc w:val="both"/>
      </w:pPr>
      <w:r>
        <w:rPr>
          <w:rFonts w:ascii="Arial" w:hAnsi="Arial"/>
          <w:b w:val="0"/>
          <w:color w:val="000000"/>
          <w:sz w:val="17"/>
        </w:rPr>
        <w:t>Indian pharma stocks corrected on 8 October after headlines linked a Supreme Court order to gifts and incentives offered by pharmaceutical companies to doctors. Mankind and Zydus declined c.3%, Dr. Reddy's and Cipla 1-2%, Lupin &lt;1% and Sun c.0.3%. The market appears to have interpreted the development as a potential restriction on pharmaceutical promotion.</w:t>
      </w:r>
    </w:p>
    <w:p>
      <w:pPr>
        <w:jc w:val="both"/>
      </w:pPr>
      <w:r>
        <w:rPr>
          <w:rFonts w:ascii="Arial" w:hAnsi="Arial"/>
          <w:b w:val="0"/>
          <w:color w:val="000000"/>
          <w:sz w:val="17"/>
        </w:rPr>
        <w:t>The Court's direction is narrower. It has asked the Centre to constitute an expert committee and examine whether pharmaceutical marketing practices require statutory regulation. The committee must submit concrete recommendations, with the matter scheduled for 29 January 2027. The Court has not introduced a new marketing restriction. It has not identified any listed company, established a violation or changed the rules governing drug promotion, prescription or distribution.</w:t>
      </w:r>
    </w:p>
    <w:p>
      <w:pPr>
        <w:jc w:val="both"/>
      </w:pPr>
      <w:r>
        <w:rPr>
          <w:rFonts w:ascii="Arial" w:hAnsi="Arial"/>
          <w:b w:val="0"/>
          <w:color w:val="000000"/>
          <w:sz w:val="17"/>
        </w:rPr>
        <w:t>The case originates from a 2021 petition filed by the Federation of Medical and Sales Representatives Associations of India. The petitioners argue that pharmaceutical companies can fund prohibited benefits while direct statutory consequences largely fall on doctors. They are seeking a legally enforceable code for companies. The Centre's position is that the Uniform Code for Pharmaceutical Marketing Practices 2024, or UCPMP, already addresses this conduct. The Supreme Court is testing whether the current enforcement mechanism provides sufficient deterrence.</w:t>
      </w:r>
    </w:p>
    <w:p>
      <w:pPr>
        <w:pStyle w:val="Heading1"/>
      </w:pPr>
      <w:r>
        <w:rPr>
          <w:rFonts w:ascii="Arial" w:hAnsi="Arial"/>
          <w:b/>
          <w:color w:val="000000"/>
          <w:sz w:val="18"/>
        </w:rPr>
        <w:t>THE CASE IS ABOUT ACCOUNTABILITY ACROSS THE PRESCRIPTION CHAIN</w:t>
      </w:r>
    </w:p>
    <w:p>
      <w:pPr>
        <w:jc w:val="both"/>
      </w:pPr>
      <w:r>
        <w:rPr>
          <w:rFonts w:ascii="Arial" w:hAnsi="Arial"/>
          <w:b w:val="0"/>
          <w:color w:val="000000"/>
          <w:sz w:val="17"/>
        </w:rPr>
        <w:t>At first principles, a pharmaceutical sale involves four distinct functions. The manufacturer owns the product and funds promotion. The field force communicates clinical information to the doctor. The doctor selects the treatment and writes the prescription. A stockist, chemist or hospital dispenses the medicine to the patient.</w:t>
      </w:r>
    </w:p>
    <w:p>
      <w:pPr>
        <w:jc w:val="both"/>
      </w:pPr>
      <w:r>
        <w:rPr>
          <w:rFonts w:ascii="Arial" w:hAnsi="Arial"/>
          <w:b w:val="0"/>
          <w:color w:val="000000"/>
          <w:sz w:val="17"/>
        </w:rPr>
        <w:t>Improper promotion can distort the doctor's product selection. The medicine still reaches the patient through the trade channel. The economic risk arises only when an inducement creates prescriptions that would not otherwise have occurred, or shifts prescriptions from one brand to another without a clinical or commercial basis.</w:t>
      </w:r>
    </w:p>
    <w:p>
      <w:pPr>
        <w:jc w:val="both"/>
      </w:pPr>
      <w:r>
        <w:rPr>
          <w:rFonts w:ascii="Arial" w:hAnsi="Arial"/>
          <w:b w:val="0"/>
          <w:color w:val="000000"/>
          <w:sz w:val="17"/>
        </w:rPr>
        <w:t>The existing framework treats the two sides of this transaction differently. Doctors are subject to statutory professional-conduct rules and can face action from the medical regulator. Pharmaceutical companies are governed primarily through UCPMP and industry-association mechanisms. The Supreme Court is examining whether the company side also requires direct statutory penalties.</w:t>
      </w:r>
    </w:p>
    <w:p>
      <w:pPr>
        <w:jc w:val="both"/>
      </w:pPr>
      <w:r>
        <w:rPr>
          <w:rFonts w:ascii="Arial" w:hAnsi="Arial"/>
          <w:b w:val="0"/>
          <w:color w:val="000000"/>
          <w:sz w:val="17"/>
        </w:rPr>
        <w:t>This distinction matters for earnings. A statutory code can increase compliance expenditure, disclosure and penalties without affecting underlying prescription demand. Revenue changes only if a company's current sales materially depend on practices that stronger enforcement subsequently stops. The relevant question is whether prohibited promotion is a measurable sales driver for the companies under coverage.</w:t>
      </w:r>
    </w:p>
    <w:p>
      <w:pPr>
        <w:pStyle w:val="Heading1"/>
      </w:pPr>
      <w:r>
        <w:rPr>
          <w:rFonts w:ascii="Arial" w:hAnsi="Arial"/>
          <w:b/>
          <w:color w:val="000000"/>
          <w:sz w:val="18"/>
        </w:rPr>
        <w:t>UCPMP 2024 ALREADY PROHIBITS THE CONDUCT UNDER REVIEW</w:t>
      </w:r>
    </w:p>
    <w:p>
      <w:pPr>
        <w:jc w:val="both"/>
      </w:pPr>
      <w:r>
        <w:rPr>
          <w:rFonts w:ascii="Arial" w:hAnsi="Arial"/>
          <w:b w:val="0"/>
          <w:color w:val="000000"/>
          <w:sz w:val="17"/>
        </w:rPr>
        <w:t>The Government introduced UCPMP 2024 in March 2024 following an earlier review led by Dr. V.K. Paul. The code prohibits gifts, cash, pecuniary benefits, leisure travel and hospitality for healthcare professionals. Travel and hospitality are permitted only for defined professional roles, such as participation as a speaker at a scientific event. These restrictions apply to pharmaceutical companies and their agents, including distributors, wholesalers and retailers.</w:t>
      </w:r>
    </w:p>
    <w:p>
      <w:pPr>
        <w:jc w:val="both"/>
      </w:pPr>
      <w:r>
        <w:rPr>
          <w:rFonts w:ascii="Arial" w:hAnsi="Arial"/>
          <w:b w:val="0"/>
          <w:color w:val="000000"/>
          <w:sz w:val="17"/>
        </w:rPr>
        <w:t>UCPMP also introduced three layers of accountability. Companies must disclose marketing expenditure. The CEO must provide an annual declaration of compliance. Industry associations must operate Ethics Committees for Pharmaceutical Marketing Practices, with appeals reaching the Department of Pharmaceuticals' Apex Committee. Published declarations create senior-management accountability, while published complaint decisions provide a basic enforcement record.</w:t>
      </w:r>
    </w:p>
    <w:p>
      <w:pPr>
        <w:jc w:val="both"/>
      </w:pPr>
      <w:r>
        <w:rPr>
          <w:rFonts w:ascii="Arial" w:hAnsi="Arial"/>
          <w:b w:val="0"/>
          <w:color w:val="000000"/>
          <w:sz w:val="17"/>
        </w:rPr>
        <w:t>The remaining gap is the strength and independence of the sanction. UCPMP enforcement runs through industry associations and administrative oversight. A dedicated statute could provide direct monetary penalties, formal investigation powers, compulsory information requests and clearer responsibility for company management. This is the incremental issue being examined by the Court.</w:t>
      </w:r>
    </w:p>
    <w:p>
      <w:pPr>
        <w:jc w:val="both"/>
      </w:pPr>
      <w:r>
        <w:rPr>
          <w:rFonts w:ascii="Arial" w:hAnsi="Arial"/>
          <w:b w:val="0"/>
          <w:color w:val="000000"/>
          <w:sz w:val="17"/>
        </w:rPr>
        <w:t>The Government has already reviewed this question once. The V.K. Paul committee examined pharmaceutical marketing practices in 2022. Its recommendations on transparency and independent scrutiny contributed to the 2024 code. The current direction represents a second review after two years of implementation, with greater focus on enforceability.</w:t>
      </w:r>
    </w:p>
    <w:p>
      <w:pPr>
        <w:jc w:val="both"/>
      </w:pPr>
      <w:r>
        <w:rPr>
          <w:rFonts w:ascii="Arial" w:hAnsi="Arial"/>
          <w:b w:val="0"/>
          <w:color w:val="000000"/>
          <w:sz w:val="17"/>
        </w:rPr>
        <w:t>The mechanism has processed a limited number of cases. The Government disclosed that the Apex Committee had received three complaints. One case involving overseas travel for c.30 doctors resulted in a reprimand of the company and referral of the doctors to the medical regulator. Three complaints are too few to establish the prevalence of the conduct. They also do not demonstrate a sector-wide earnings problem.</w:t>
      </w:r>
    </w:p>
    <w:p>
      <w:pPr>
        <w:pStyle w:val="Heading1"/>
      </w:pPr>
      <w:r>
        <w:rPr>
          <w:rFonts w:ascii="Arial" w:hAnsi="Arial"/>
          <w:b/>
          <w:color w:val="000000"/>
          <w:sz w:val="18"/>
        </w:rPr>
        <w:t>SYSTEMIC INDUCEMENT SHOULD APPEAR IN VOLUMES</w:t>
      </w:r>
    </w:p>
    <w:p>
      <w:pPr>
        <w:jc w:val="both"/>
      </w:pPr>
      <w:r>
        <w:rPr>
          <w:rFonts w:ascii="Arial" w:hAnsi="Arial"/>
          <w:b w:val="0"/>
          <w:color w:val="000000"/>
          <w:sz w:val="17"/>
        </w:rPr>
        <w:t>There are three observable indicators of sales dependence on aggressive promotion. The first is prescription or volume growth materially above the underlying market. The second is growth concentrated in mature products without new launches, price increases or market-share drivers. The third is an opaque sales channel accompanied by inventory accumulation or aggressive receivable growth.</w:t>
      </w:r>
    </w:p>
    <w:p>
      <w:pPr>
        <w:jc w:val="both"/>
      </w:pPr>
      <w:r>
        <w:rPr>
          <w:rFonts w:ascii="Arial" w:hAnsi="Arial"/>
          <w:b w:val="0"/>
          <w:color w:val="000000"/>
          <w:sz w:val="17"/>
        </w:rPr>
        <w:t>The first test can be applied at the market level. IPM value grew 10.7% in August 2026. Price contributed 6.1ppt, new products 3.5ppt and volume only 1.1ppt. Price generated 57% of value growth and new products 33%. Volume accounted for c.10%.</w:t>
      </w:r>
    </w:p>
    <w:p>
      <w:pPr>
        <w:jc w:val="both"/>
      </w:pPr>
      <w:r>
        <w:rPr>
          <w:rFonts w:ascii="Arial" w:hAnsi="Arial"/>
          <w:b w:val="0"/>
          <w:color w:val="000000"/>
          <w:sz w:val="17"/>
        </w:rPr>
        <w:t>The three-month data shows the same structure. IPM grew 11.9% during the three months ended August, comprising 6.0ppt from price, 3.6ppt from new products and 2.3ppt from volume. Non-volume drivers accounted for c.81% of growth. This is not the growth profile of a market experiencing broad-based prescription inflation. The industry is growing through annual price revisions, premium products, portfolio mix and launches. Underlying unit growth remains low single digit.</w:t>
      </w:r>
    </w:p>
    <w:p>
      <w:pPr>
        <w:jc w:val="both"/>
      </w:pPr>
      <w:r>
        <w:rPr>
          <w:rFonts w:ascii="Arial" w:hAnsi="Arial"/>
          <w:b w:val="0"/>
          <w:color w:val="000000"/>
          <w:sz w:val="17"/>
        </w:rPr>
        <w:t>Market-level data cannot disprove individual violations. It can test whether such practices are large enough to explain industry growth. The current numbers do not support that conclusion.</w:t>
      </w:r>
    </w:p>
    <w:p>
      <w:pPr>
        <w:pStyle w:val="Heading1"/>
      </w:pPr>
      <w:r>
        <w:rPr>
          <w:rFonts w:ascii="Arial" w:hAnsi="Arial"/>
          <w:b/>
          <w:color w:val="000000"/>
          <w:sz w:val="18"/>
        </w:rPr>
        <w:t>TRADITIONAL DISTRIBUTION SEPARATES PRODUCT FLOW FROM PRESCRIPTION GENERATION</w:t>
      </w:r>
    </w:p>
    <w:p>
      <w:pPr>
        <w:jc w:val="both"/>
      </w:pPr>
      <w:r>
        <w:rPr>
          <w:rFonts w:ascii="Arial" w:hAnsi="Arial"/>
          <w:b w:val="0"/>
          <w:color w:val="000000"/>
          <w:sz w:val="17"/>
        </w:rPr>
        <w:t>Zydus, Sun and Lupin primarily use the conventional pharmaceutical distribution structure: manufacturer to C&amp;F agent, stockist or wholesaler, chemist or hospital, and finally the patient. The doctor influences demand through the prescription. The doctor does not generally purchase inventory from the company and resell it to the patient.</w:t>
      </w:r>
    </w:p>
    <w:p>
      <w:pPr>
        <w:jc w:val="both"/>
      </w:pPr>
      <w:r>
        <w:rPr>
          <w:rFonts w:ascii="Arial" w:hAnsi="Arial"/>
          <w:b w:val="0"/>
          <w:color w:val="000000"/>
          <w:sz w:val="17"/>
        </w:rPr>
        <w:t>This structure limits the ability to place inventory directly with individual prescribers. It also creates an external trade record across primary sales, secondary sales and chemist-level dispensing. A manufacturer cannot sustain revenue merely by generating prescriptions if the medicine does not move through the channel.</w:t>
      </w:r>
    </w:p>
    <w:p>
      <w:pPr>
        <w:jc w:val="both"/>
      </w:pPr>
      <w:r>
        <w:rPr>
          <w:rFonts w:ascii="Arial" w:hAnsi="Arial"/>
          <w:b w:val="0"/>
          <w:color w:val="000000"/>
          <w:sz w:val="17"/>
        </w:rPr>
        <w:t>Traditional distribution does not eliminate the risk of inappropriate doctor engagement. The field force continues to interact with healthcare professionals. Channel structure is therefore one part of the assessment. Volume growth, launch contribution, portfolio mix, working capital and published compliance records provide the remaining checks.</w:t>
      </w:r>
    </w:p>
    <w:p>
      <w:pPr>
        <w:pStyle w:val="Heading1"/>
      </w:pPr>
      <w:r>
        <w:rPr>
          <w:rFonts w:ascii="Arial" w:hAnsi="Arial"/>
          <w:b/>
          <w:color w:val="000000"/>
          <w:sz w:val="18"/>
        </w:rPr>
        <w:t>ZYDUS GROWTH IS LINKED TO LAUNCHES PILLAR BRANDS AND CHRONIC MIX</w:t>
      </w:r>
    </w:p>
    <w:p>
      <w:pPr>
        <w:jc w:val="both"/>
      </w:pPr>
      <w:r>
        <w:rPr>
          <w:rFonts w:ascii="Arial" w:hAnsi="Arial"/>
          <w:b w:val="0"/>
          <w:color w:val="000000"/>
          <w:sz w:val="17"/>
        </w:rPr>
        <w:t>Zydus grew 14.1% on a MAT basis through August 2026. Q2FY26 India formulation sales were INR15.9bn, up 8%, and represented c.26% of consolidated revenue. Branded-formulation growth of 9% was led by innovation products and pillar brands. Chronic therapies now contribute 44.5% of the domestic portfolio, an increase of c.500bp over three years.</w:t>
      </w:r>
    </w:p>
    <w:p>
      <w:pPr>
        <w:jc w:val="both"/>
      </w:pPr>
      <w:r>
        <w:rPr>
          <w:rFonts w:ascii="Arial" w:hAnsi="Arial"/>
          <w:b w:val="0"/>
          <w:color w:val="000000"/>
          <w:sz w:val="17"/>
        </w:rPr>
        <w:t>The portfolio mix provides an economic explanation for growth. Chronic products generate repeat prescriptions because patients remain on therapy for longer periods. New products add value before building large unit volumes. Pillar brands benefit from established physician familiarity and patient continuation. These drivers can support value growth without requiring abnormal prescription volumes.</w:t>
      </w:r>
    </w:p>
    <w:p>
      <w:pPr>
        <w:jc w:val="both"/>
      </w:pPr>
      <w:r>
        <w:rPr>
          <w:rFonts w:ascii="Arial" w:hAnsi="Arial"/>
          <w:b w:val="0"/>
          <w:color w:val="000000"/>
          <w:sz w:val="17"/>
        </w:rPr>
        <w:t>Zydus appoints C&amp;F agents across most states and distributes through the normal stockist and chemist network. It has filed its FY26 UCPMP compliance declaration. We found no published IPA decision identifying the company in an adverse UCPMP ruling.</w:t>
      </w:r>
    </w:p>
    <w:p>
      <w:pPr>
        <w:jc w:val="both"/>
      </w:pPr>
      <w:r>
        <w:rPr>
          <w:rFonts w:ascii="Arial" w:hAnsi="Arial"/>
          <w:b w:val="0"/>
          <w:color w:val="000000"/>
          <w:sz w:val="17"/>
        </w:rPr>
        <w:t>India formulations represent c.26% of consolidated revenue. A hypothetical 2% slowdown in domestic sales would reduce group revenue by c.0.5%, before any portfolio or geographic offset. A 5% domestic slowdown would imply c.1.3% group revenue impact. These are sensitivities, not forecasts. The current order provides no basis to assume either scenario.</w:t>
      </w:r>
    </w:p>
    <w:p>
      <w:pPr>
        <w:pStyle w:val="Heading1"/>
      </w:pPr>
      <w:r>
        <w:rPr>
          <w:rFonts w:ascii="Arial" w:hAnsi="Arial"/>
          <w:b/>
          <w:color w:val="000000"/>
          <w:sz w:val="18"/>
        </w:rPr>
        <w:t>SUN GROWTH IS VISIBLE THROUGH LAUNCHES AND MARKET SHARE GAINS</w:t>
      </w:r>
    </w:p>
    <w:p>
      <w:pPr>
        <w:jc w:val="both"/>
      </w:pPr>
      <w:r>
        <w:rPr>
          <w:rFonts w:ascii="Arial" w:hAnsi="Arial"/>
          <w:b w:val="0"/>
          <w:color w:val="000000"/>
          <w:sz w:val="17"/>
        </w:rPr>
        <w:t>Sun generated INR192.9bn of India formulation sales in FY26, up 14% and equivalent to c.33% of consolidated sales. It launched 37 products and increased IPM market share from 8.1% to 8.4%. The company has high chronic and specialty exposure, where treatment duration and patient retention support recurring sales.</w:t>
      </w:r>
    </w:p>
    <w:p>
      <w:pPr>
        <w:jc w:val="both"/>
      </w:pPr>
      <w:r>
        <w:rPr>
          <w:rFonts w:ascii="Arial" w:hAnsi="Arial"/>
          <w:b w:val="0"/>
          <w:color w:val="000000"/>
          <w:sz w:val="17"/>
        </w:rPr>
        <w:t>The combination of 37 launches and a 30bp market-share increase provides identifiable drivers for the 14% growth. Sun describes its distribution chain as distributors, wholesalers and retailers. It has submitted its FY26 UCPMP declaration. We found no published adverse IPA ruling against the company.</w:t>
      </w:r>
    </w:p>
    <w:p>
      <w:pPr>
        <w:jc w:val="both"/>
      </w:pPr>
      <w:r>
        <w:rPr>
          <w:rFonts w:ascii="Arial" w:hAnsi="Arial"/>
          <w:b w:val="0"/>
          <w:color w:val="000000"/>
          <w:sz w:val="17"/>
        </w:rPr>
        <w:t>India represents c.33% of consolidated sales. A hypothetical 2% reduction in domestic sales would affect group revenue by c.0.7%. A 5% reduction would affect group revenue by c.1.7%. Sun has the highest domestic exposure across the three companies, making it relatively more sensitive to any broad restriction. Its visible launch and market-share drivers reduce the probability of this sensitivity materialising.</w:t>
      </w:r>
    </w:p>
    <w:p>
      <w:pPr>
        <w:pStyle w:val="Heading1"/>
      </w:pPr>
      <w:r>
        <w:rPr>
          <w:rFonts w:ascii="Arial" w:hAnsi="Arial"/>
          <w:b/>
          <w:color w:val="000000"/>
          <w:sz w:val="18"/>
        </w:rPr>
        <w:t>LUPIN ABOVE MARKET VOLUME GROWTH DESERVES A CLOSER CHECK</w:t>
      </w:r>
    </w:p>
    <w:p>
      <w:pPr>
        <w:jc w:val="both"/>
      </w:pPr>
      <w:r>
        <w:rPr>
          <w:rFonts w:ascii="Arial" w:hAnsi="Arial"/>
          <w:b w:val="0"/>
          <w:color w:val="000000"/>
          <w:sz w:val="17"/>
        </w:rPr>
        <w:t>Lupin's India prescription business grew 10.6% in FY26 and contributes c.30% of group revenue. Chronic therapies increased to 66% of domestic sales from 64%, while the company launched 15 products. Lupin reported volume growth of 6.4% against IPM volume growth of 2.6%. This is the strongest counterpoint to the broader market analysis and the right metric to monitor.</w:t>
      </w:r>
    </w:p>
    <w:p>
      <w:pPr>
        <w:jc w:val="both"/>
      </w:pPr>
      <w:r>
        <w:rPr>
          <w:rFonts w:ascii="Arial" w:hAnsi="Arial"/>
          <w:b w:val="0"/>
          <w:color w:val="000000"/>
          <w:sz w:val="17"/>
        </w:rPr>
        <w:t>Above-market volume can arise from market-share gains within existing territories, expansion into new towns and chemists, or higher prescriptions per covered doctor. Lupin has expanded its presence across Tier-2 and Tier-3 markets and increased chemist-level demand generation. Wider physical availability should mechanically increase secondary sales volumes, particularly when combined with a rising chronic mix and 15 launches.</w:t>
      </w:r>
    </w:p>
    <w:p>
      <w:pPr>
        <w:jc w:val="both"/>
      </w:pPr>
      <w:r>
        <w:rPr>
          <w:rFonts w:ascii="Arial" w:hAnsi="Arial"/>
          <w:b w:val="0"/>
          <w:color w:val="000000"/>
          <w:sz w:val="17"/>
        </w:rPr>
        <w:t>A compliance concern would require more specific evidence: persistent volume growth without corresponding distribution expansion, a material increase in channel inventory, unusual receivable growth, adverse complaint findings or marketing expenditure materially outside sector norms. No such evidence is currently available. Lupin has filed its FY26 UCPMP declaration.</w:t>
      </w:r>
    </w:p>
    <w:p>
      <w:pPr>
        <w:jc w:val="both"/>
      </w:pPr>
      <w:r>
        <w:rPr>
          <w:rFonts w:ascii="Arial" w:hAnsi="Arial"/>
          <w:b w:val="0"/>
          <w:color w:val="000000"/>
          <w:sz w:val="17"/>
        </w:rPr>
        <w:t>India contributes c.30% of Lupin's revenue. A hypothetical 2% domestic slowdown would reduce group revenue by c.0.6%. A 5% slowdown would reduce group revenue by c.1.5%. Lupin warrants closer volume monitoring, while the current evidence remains consistent with portfolio and distribution expansion.</w:t>
      </w:r>
    </w:p>
    <w:p>
      <w:pPr>
        <w:pStyle w:val="Heading1"/>
      </w:pPr>
      <w:r>
        <w:rPr>
          <w:rFonts w:ascii="Arial" w:hAnsi="Arial"/>
          <w:b/>
          <w:color w:val="000000"/>
          <w:sz w:val="18"/>
        </w:rPr>
        <w:t>BASE CASE IS HIGHER COMPLIANCE COST WITH NO CURRENT REVENUE RESET</w:t>
      </w:r>
    </w:p>
    <w:p>
      <w:pPr>
        <w:jc w:val="both"/>
      </w:pPr>
      <w:r>
        <w:rPr>
          <w:rFonts w:ascii="Arial" w:hAnsi="Arial"/>
          <w:b w:val="0"/>
          <w:color w:val="000000"/>
          <w:sz w:val="17"/>
        </w:rPr>
        <w:t>The most likely outcome is statutory reinforcement of UCPMP. This could include independent investigations, standardised marketing-spend disclosures, direct financial penalties and greater senior-management responsibility. Companies may incur higher compliance, legal and documentation costs.</w:t>
      </w:r>
    </w:p>
    <w:p>
      <w:pPr>
        <w:jc w:val="both"/>
      </w:pPr>
      <w:r>
        <w:rPr>
          <w:rFonts w:ascii="Arial" w:hAnsi="Arial"/>
          <w:b w:val="0"/>
          <w:color w:val="000000"/>
          <w:sz w:val="17"/>
        </w:rPr>
        <w:t>A more restrictive outcome could narrow permissible sponsorships, medical education support, samples or hospitality. Such measures could modestly slow launch adoption in doctor-intensive therapies. The impact would be greater for companies with high India exposure, acute portfolios, weak product pipelines and limited differentiation.</w:t>
      </w:r>
    </w:p>
    <w:p>
      <w:pPr>
        <w:jc w:val="both"/>
      </w:pPr>
      <w:r>
        <w:rPr>
          <w:rFonts w:ascii="Arial" w:hAnsi="Arial"/>
          <w:b w:val="0"/>
          <w:color w:val="000000"/>
          <w:sz w:val="17"/>
        </w:rPr>
        <w:t>A material earnings event requires evidence that a company's existing prescriptions depend on prohibited incentives. There is no such company-specific evidence for Zydus, Sun or Lupin today. All three distribute through conventional trade channels, have submitted UCPMP declarations and have identifiable growth drivers across launches, price, chronic mix, geographic expansion and market-share gains.</w:t>
      </w:r>
    </w:p>
    <w:p>
      <w:pPr>
        <w:jc w:val="both"/>
      </w:pPr>
      <w:r>
        <w:rPr>
          <w:rFonts w:ascii="Arial" w:hAnsi="Arial"/>
          <w:b w:val="0"/>
          <w:color w:val="000000"/>
          <w:sz w:val="17"/>
        </w:rPr>
        <w:t>The Court has initiated an enforcement review. It has not created an earnings event. We see no basis for estimate changes for Zydus, Sun or Lupin. The stock correction prices in more revenue risk than the current order and available operating data support.</w:t>
      </w:r>
    </w:p>
    <w:p>
      <w:pPr>
        <w:spacing w:before="70" w:after="0" w:lineRule="exact" w:line="176"/>
      </w:pPr>
      <w:r>
        <w:rPr>
          <w:rFonts w:ascii="Arial" w:hAnsi="Arial"/>
          <w:b w:val="0"/>
          <w:color w:val="5B6570"/>
          <w:sz w:val="14"/>
        </w:rPr>
        <w:t>Sources: Supreme Court proceedings and public reporting; Department of Pharmaceuticals UCPMP 2024 and published complaint records; AIOCD AWACS and company disclosures. Company sales sensitivities are Bernstein estimates and are illustrative, not forecasts.</w:t>
      </w:r>
    </w:p>
    <w:sectPr w:rsidR="00FC693F" w:rsidRPr="0006063C" w:rsidSect="00034616">
      <w:footerReference w:type="default" r:id="rId9"/>
      <w:pgSz w:w="12240" w:h="15840"/>
      <w:pgMar w:top="662" w:right="763" w:bottom="605" w:left="76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b/>
        <w:color w:val="6C7680"/>
        <w:sz w:val="13"/>
      </w:rPr>
      <w:t>INDIA PHARMA QUICK TAKE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49" w:lineRule="exact" w:line="205"/>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4" w:after="30" w:line="240" w:lineRule="auto"/>
      <w:outlineLvl w:val="0"/>
    </w:pPr>
    <w:rPr>
      <w:rFonts w:asciiTheme="majorHAnsi" w:eastAsiaTheme="majorEastAsia" w:hAnsiTheme="majorHAnsi" w:cstheme="majorBidi" w:ascii="Arial" w:hAnsi="Arial"/>
      <w:b/>
      <w:bCs/>
      <w:color w:val="000000"/>
      <w:sz w:val="1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rial" w:hAnsi="Arial"/>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Pharma Supreme Court Review of Pharmaceutical Marketing Practices</dc:title>
  <dc:subject>Supreme Court review of pharmaceutical marketing practices</dc:subject>
  <dc:creator/>
  <cp:keywords>India pharma, UCPMP, Supreme Court, Zydus, Sun Pharma, Lupin</cp:keywords>
  <dc:description>generated by python-docx</dc:description>
  <cp:lastModifiedBy/>
  <cp:revision>1</cp:revision>
  <dcterms:created xsi:type="dcterms:W3CDTF">2013-12-23T23:15:00Z</dcterms:created>
  <dcterms:modified xsi:type="dcterms:W3CDTF">2013-12-23T23:15:00Z</dcterms:modified>
  <cp:category/>
</cp:coreProperties>
</file>