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03F0E" w:rsidRPr="00B03F0E" w:rsidRDefault="00B03F0E" w:rsidP="00B03F0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03F0E">
        <w:rPr>
          <w:rFonts w:ascii="Times New Roman" w:eastAsia="Times New Roman" w:hAnsi="Times New Roman" w:cs="Times New Roman"/>
          <w:b/>
          <w:bCs/>
          <w:kern w:val="0"/>
          <w:sz w:val="27"/>
          <w:szCs w:val="27"/>
          <w14:ligatures w14:val="none"/>
        </w:rPr>
        <w:t>1. Hormonal injectables</w:t>
      </w:r>
    </w:p>
    <w:p w:rsidR="00B03F0E" w:rsidRPr="00B03F0E" w:rsidRDefault="00B03F0E" w:rsidP="00B03F0E">
      <w:pPr>
        <w:spacing w:before="100" w:beforeAutospacing="1" w:after="100" w:afterAutospacing="1"/>
        <w:rPr>
          <w:rFonts w:ascii="Times New Roman" w:eastAsia="Times New Roman" w:hAnsi="Times New Roman" w:cs="Times New Roman"/>
          <w:kern w:val="0"/>
          <w14:ligatures w14:val="none"/>
        </w:rPr>
      </w:pPr>
      <w:r w:rsidRPr="00B03F0E">
        <w:rPr>
          <w:rFonts w:ascii="Times New Roman" w:eastAsia="Times New Roman" w:hAnsi="Times New Roman" w:cs="Times New Roman"/>
          <w:b/>
          <w:bCs/>
          <w:kern w:val="0"/>
          <w14:ligatures w14:val="none"/>
        </w:rPr>
        <w:t>Hormonal injectables are the drugs used to make the ovaries produce multiple eggs in one cycle, instead of one egg naturally.</w:t>
      </w:r>
      <w:r w:rsidRPr="00B03F0E">
        <w:rPr>
          <w:rFonts w:ascii="Times New Roman" w:eastAsia="Times New Roman" w:hAnsi="Times New Roman" w:cs="Times New Roman"/>
          <w:kern w:val="0"/>
          <w14:ligatures w14:val="none"/>
        </w:rPr>
        <w:t xml:space="preserve"> This includes FSH, LH, </w:t>
      </w:r>
      <w:proofErr w:type="spellStart"/>
      <w:r w:rsidRPr="00B03F0E">
        <w:rPr>
          <w:rFonts w:ascii="Times New Roman" w:eastAsia="Times New Roman" w:hAnsi="Times New Roman" w:cs="Times New Roman"/>
          <w:kern w:val="0"/>
          <w14:ligatures w14:val="none"/>
        </w:rPr>
        <w:t>hCG</w:t>
      </w:r>
      <w:proofErr w:type="spellEnd"/>
      <w:r w:rsidRPr="00B03F0E">
        <w:rPr>
          <w:rFonts w:ascii="Times New Roman" w:eastAsia="Times New Roman" w:hAnsi="Times New Roman" w:cs="Times New Roman"/>
          <w:kern w:val="0"/>
          <w14:ligatures w14:val="none"/>
        </w:rPr>
        <w:t xml:space="preserve"> triggers, GnRH agonists / antagonists and progesterone support. The key products are </w:t>
      </w:r>
      <w:proofErr w:type="spellStart"/>
      <w:r w:rsidRPr="00B03F0E">
        <w:rPr>
          <w:rFonts w:ascii="Times New Roman" w:eastAsia="Times New Roman" w:hAnsi="Times New Roman" w:cs="Times New Roman"/>
          <w:b/>
          <w:bCs/>
          <w:kern w:val="0"/>
          <w14:ligatures w14:val="none"/>
        </w:rPr>
        <w:t>Gonal</w:t>
      </w:r>
      <w:proofErr w:type="spellEnd"/>
      <w:r w:rsidRPr="00B03F0E">
        <w:rPr>
          <w:rFonts w:ascii="Times New Roman" w:eastAsia="Times New Roman" w:hAnsi="Times New Roman" w:cs="Times New Roman"/>
          <w:b/>
          <w:bCs/>
          <w:kern w:val="0"/>
          <w14:ligatures w14:val="none"/>
        </w:rPr>
        <w:t xml:space="preserve">-f, </w:t>
      </w:r>
      <w:proofErr w:type="spellStart"/>
      <w:r w:rsidRPr="00B03F0E">
        <w:rPr>
          <w:rFonts w:ascii="Times New Roman" w:eastAsia="Times New Roman" w:hAnsi="Times New Roman" w:cs="Times New Roman"/>
          <w:b/>
          <w:bCs/>
          <w:kern w:val="0"/>
          <w14:ligatures w14:val="none"/>
        </w:rPr>
        <w:t>Follistim</w:t>
      </w:r>
      <w:proofErr w:type="spellEnd"/>
      <w:r w:rsidRPr="00B03F0E">
        <w:rPr>
          <w:rFonts w:ascii="Times New Roman" w:eastAsia="Times New Roman" w:hAnsi="Times New Roman" w:cs="Times New Roman"/>
          <w:b/>
          <w:bCs/>
          <w:kern w:val="0"/>
          <w14:ligatures w14:val="none"/>
        </w:rPr>
        <w:t xml:space="preserve"> / </w:t>
      </w:r>
      <w:proofErr w:type="spellStart"/>
      <w:r w:rsidRPr="00B03F0E">
        <w:rPr>
          <w:rFonts w:ascii="Times New Roman" w:eastAsia="Times New Roman" w:hAnsi="Times New Roman" w:cs="Times New Roman"/>
          <w:b/>
          <w:bCs/>
          <w:kern w:val="0"/>
          <w14:ligatures w14:val="none"/>
        </w:rPr>
        <w:t>Puregon</w:t>
      </w:r>
      <w:proofErr w:type="spellEnd"/>
      <w:r w:rsidRPr="00B03F0E">
        <w:rPr>
          <w:rFonts w:ascii="Times New Roman" w:eastAsia="Times New Roman" w:hAnsi="Times New Roman" w:cs="Times New Roman"/>
          <w:b/>
          <w:bCs/>
          <w:kern w:val="0"/>
          <w14:ligatures w14:val="none"/>
        </w:rPr>
        <w:t xml:space="preserve">, </w:t>
      </w:r>
      <w:proofErr w:type="spellStart"/>
      <w:r w:rsidRPr="00B03F0E">
        <w:rPr>
          <w:rFonts w:ascii="Times New Roman" w:eastAsia="Times New Roman" w:hAnsi="Times New Roman" w:cs="Times New Roman"/>
          <w:b/>
          <w:bCs/>
          <w:kern w:val="0"/>
          <w14:ligatures w14:val="none"/>
        </w:rPr>
        <w:t>Menopur</w:t>
      </w:r>
      <w:proofErr w:type="spellEnd"/>
      <w:r w:rsidRPr="00B03F0E">
        <w:rPr>
          <w:rFonts w:ascii="Times New Roman" w:eastAsia="Times New Roman" w:hAnsi="Times New Roman" w:cs="Times New Roman"/>
          <w:b/>
          <w:bCs/>
          <w:kern w:val="0"/>
          <w14:ligatures w14:val="none"/>
        </w:rPr>
        <w:t xml:space="preserve">, </w:t>
      </w:r>
      <w:proofErr w:type="spellStart"/>
      <w:r w:rsidRPr="00B03F0E">
        <w:rPr>
          <w:rFonts w:ascii="Times New Roman" w:eastAsia="Times New Roman" w:hAnsi="Times New Roman" w:cs="Times New Roman"/>
          <w:b/>
          <w:bCs/>
          <w:kern w:val="0"/>
          <w14:ligatures w14:val="none"/>
        </w:rPr>
        <w:t>Ovidrel</w:t>
      </w:r>
      <w:proofErr w:type="spellEnd"/>
      <w:r w:rsidRPr="00B03F0E">
        <w:rPr>
          <w:rFonts w:ascii="Times New Roman" w:eastAsia="Times New Roman" w:hAnsi="Times New Roman" w:cs="Times New Roman"/>
          <w:b/>
          <w:bCs/>
          <w:kern w:val="0"/>
          <w14:ligatures w14:val="none"/>
        </w:rPr>
        <w:t xml:space="preserve">, </w:t>
      </w:r>
      <w:proofErr w:type="spellStart"/>
      <w:r w:rsidRPr="00B03F0E">
        <w:rPr>
          <w:rFonts w:ascii="Times New Roman" w:eastAsia="Times New Roman" w:hAnsi="Times New Roman" w:cs="Times New Roman"/>
          <w:b/>
          <w:bCs/>
          <w:kern w:val="0"/>
          <w14:ligatures w14:val="none"/>
        </w:rPr>
        <w:t>Cetrotide</w:t>
      </w:r>
      <w:proofErr w:type="spellEnd"/>
      <w:r w:rsidRPr="00B03F0E">
        <w:rPr>
          <w:rFonts w:ascii="Times New Roman" w:eastAsia="Times New Roman" w:hAnsi="Times New Roman" w:cs="Times New Roman"/>
          <w:b/>
          <w:bCs/>
          <w:kern w:val="0"/>
          <w14:ligatures w14:val="none"/>
        </w:rPr>
        <w:t xml:space="preserve"> and related gonadotropins</w:t>
      </w:r>
      <w:r w:rsidRPr="00B03F0E">
        <w:rPr>
          <w:rFonts w:ascii="Times New Roman" w:eastAsia="Times New Roman" w:hAnsi="Times New Roman" w:cs="Times New Roman"/>
          <w:kern w:val="0"/>
          <w14:ligatures w14:val="none"/>
        </w:rPr>
        <w:t xml:space="preserve">. This is a doctor-led, protocol-led market: the patient does not choose the product, the fertility specialist does. The global infertility drugs market was </w:t>
      </w:r>
      <w:r w:rsidRPr="00B03F0E">
        <w:rPr>
          <w:rFonts w:ascii="Times New Roman" w:eastAsia="Times New Roman" w:hAnsi="Times New Roman" w:cs="Times New Roman"/>
          <w:b/>
          <w:bCs/>
          <w:kern w:val="0"/>
          <w14:ligatures w14:val="none"/>
        </w:rPr>
        <w:t>US$3.5bn in 2022</w:t>
      </w:r>
      <w:r w:rsidRPr="00B03F0E">
        <w:rPr>
          <w:rFonts w:ascii="Times New Roman" w:eastAsia="Times New Roman" w:hAnsi="Times New Roman" w:cs="Times New Roman"/>
          <w:kern w:val="0"/>
          <w14:ligatures w14:val="none"/>
        </w:rPr>
        <w:t xml:space="preserve"> and is expected to reach </w:t>
      </w:r>
      <w:r w:rsidRPr="00B03F0E">
        <w:rPr>
          <w:rFonts w:ascii="Times New Roman" w:eastAsia="Times New Roman" w:hAnsi="Times New Roman" w:cs="Times New Roman"/>
          <w:b/>
          <w:bCs/>
          <w:kern w:val="0"/>
          <w14:ligatures w14:val="none"/>
        </w:rPr>
        <w:t>US$5.6bn by 2030</w:t>
      </w:r>
      <w:r w:rsidRPr="00B03F0E">
        <w:rPr>
          <w:rFonts w:ascii="Times New Roman" w:eastAsia="Times New Roman" w:hAnsi="Times New Roman" w:cs="Times New Roman"/>
          <w:kern w:val="0"/>
          <w14:ligatures w14:val="none"/>
        </w:rPr>
        <w:t xml:space="preserve">; gonadotropins are the largest drug class at c.40% share. Merck says it is the world market leader in fertility treatments, while Ferring’s portfolio includes </w:t>
      </w:r>
      <w:proofErr w:type="spellStart"/>
      <w:r w:rsidRPr="00B03F0E">
        <w:rPr>
          <w:rFonts w:ascii="Times New Roman" w:eastAsia="Times New Roman" w:hAnsi="Times New Roman" w:cs="Times New Roman"/>
          <w:kern w:val="0"/>
          <w14:ligatures w14:val="none"/>
        </w:rPr>
        <w:t>Menopur</w:t>
      </w:r>
      <w:proofErr w:type="spellEnd"/>
      <w:r w:rsidRPr="00B03F0E">
        <w:rPr>
          <w:rFonts w:ascii="Times New Roman" w:eastAsia="Times New Roman" w:hAnsi="Times New Roman" w:cs="Times New Roman"/>
          <w:kern w:val="0"/>
          <w14:ligatures w14:val="none"/>
        </w:rPr>
        <w:t xml:space="preserve"> for ovarian stimulation, </w:t>
      </w:r>
      <w:proofErr w:type="spellStart"/>
      <w:r w:rsidRPr="00B03F0E">
        <w:rPr>
          <w:rFonts w:ascii="Times New Roman" w:eastAsia="Times New Roman" w:hAnsi="Times New Roman" w:cs="Times New Roman"/>
          <w:kern w:val="0"/>
          <w14:ligatures w14:val="none"/>
        </w:rPr>
        <w:t>Decapeptyl</w:t>
      </w:r>
      <w:proofErr w:type="spellEnd"/>
      <w:r w:rsidRPr="00B03F0E">
        <w:rPr>
          <w:rFonts w:ascii="Times New Roman" w:eastAsia="Times New Roman" w:hAnsi="Times New Roman" w:cs="Times New Roman"/>
          <w:kern w:val="0"/>
          <w14:ligatures w14:val="none"/>
        </w:rPr>
        <w:t xml:space="preserve"> to control stimulation timing and </w:t>
      </w:r>
      <w:proofErr w:type="spellStart"/>
      <w:r w:rsidRPr="00B03F0E">
        <w:rPr>
          <w:rFonts w:ascii="Times New Roman" w:eastAsia="Times New Roman" w:hAnsi="Times New Roman" w:cs="Times New Roman"/>
          <w:kern w:val="0"/>
          <w14:ligatures w14:val="none"/>
        </w:rPr>
        <w:t>Choragon</w:t>
      </w:r>
      <w:proofErr w:type="spellEnd"/>
      <w:r w:rsidRPr="00B03F0E">
        <w:rPr>
          <w:rFonts w:ascii="Times New Roman" w:eastAsia="Times New Roman" w:hAnsi="Times New Roman" w:cs="Times New Roman"/>
          <w:kern w:val="0"/>
          <w14:ligatures w14:val="none"/>
        </w:rPr>
        <w:t xml:space="preserve"> to induce ovulation. </w:t>
      </w:r>
    </w:p>
    <w:p w:rsidR="00B03F0E" w:rsidRPr="00B03F0E" w:rsidRDefault="00B03F0E" w:rsidP="00B03F0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03F0E">
        <w:rPr>
          <w:rFonts w:ascii="Times New Roman" w:eastAsia="Times New Roman" w:hAnsi="Times New Roman" w:cs="Times New Roman"/>
          <w:b/>
          <w:bCs/>
          <w:kern w:val="0"/>
          <w:sz w:val="27"/>
          <w:szCs w:val="27"/>
          <w14:ligatures w14:val="none"/>
        </w:rPr>
        <w:t>2. Freezing concepts</w:t>
      </w:r>
    </w:p>
    <w:p w:rsidR="00B03F0E" w:rsidRPr="00B03F0E" w:rsidRDefault="00B03F0E" w:rsidP="00B03F0E">
      <w:pPr>
        <w:spacing w:before="100" w:beforeAutospacing="1" w:after="100" w:afterAutospacing="1"/>
        <w:rPr>
          <w:rFonts w:ascii="Times New Roman" w:eastAsia="Times New Roman" w:hAnsi="Times New Roman" w:cs="Times New Roman"/>
          <w:kern w:val="0"/>
          <w14:ligatures w14:val="none"/>
        </w:rPr>
      </w:pPr>
      <w:r w:rsidRPr="00B03F0E">
        <w:rPr>
          <w:rFonts w:ascii="Times New Roman" w:eastAsia="Times New Roman" w:hAnsi="Times New Roman" w:cs="Times New Roman"/>
          <w:b/>
          <w:bCs/>
          <w:kern w:val="0"/>
          <w14:ligatures w14:val="none"/>
        </w:rPr>
        <w:t>Freezing is now a core part of ART, not an optional add-on.</w:t>
      </w:r>
      <w:r w:rsidRPr="00B03F0E">
        <w:rPr>
          <w:rFonts w:ascii="Times New Roman" w:eastAsia="Times New Roman" w:hAnsi="Times New Roman" w:cs="Times New Roman"/>
          <w:kern w:val="0"/>
          <w14:ligatures w14:val="none"/>
        </w:rPr>
        <w:t xml:space="preserve"> Eggs can be frozen before </w:t>
      </w:r>
      <w:proofErr w:type="spellStart"/>
      <w:r w:rsidRPr="00B03F0E">
        <w:rPr>
          <w:rFonts w:ascii="Times New Roman" w:eastAsia="Times New Roman" w:hAnsi="Times New Roman" w:cs="Times New Roman"/>
          <w:kern w:val="0"/>
          <w14:ligatures w14:val="none"/>
        </w:rPr>
        <w:t>fertilisation</w:t>
      </w:r>
      <w:proofErr w:type="spellEnd"/>
      <w:r w:rsidRPr="00B03F0E">
        <w:rPr>
          <w:rFonts w:ascii="Times New Roman" w:eastAsia="Times New Roman" w:hAnsi="Times New Roman" w:cs="Times New Roman"/>
          <w:kern w:val="0"/>
          <w14:ligatures w14:val="none"/>
        </w:rPr>
        <w:t xml:space="preserve">, and embryos can be frozen after </w:t>
      </w:r>
      <w:proofErr w:type="spellStart"/>
      <w:r w:rsidRPr="00B03F0E">
        <w:rPr>
          <w:rFonts w:ascii="Times New Roman" w:eastAsia="Times New Roman" w:hAnsi="Times New Roman" w:cs="Times New Roman"/>
          <w:kern w:val="0"/>
          <w14:ligatures w14:val="none"/>
        </w:rPr>
        <w:t>fertilisation</w:t>
      </w:r>
      <w:proofErr w:type="spellEnd"/>
      <w:r w:rsidRPr="00B03F0E">
        <w:rPr>
          <w:rFonts w:ascii="Times New Roman" w:eastAsia="Times New Roman" w:hAnsi="Times New Roman" w:cs="Times New Roman"/>
          <w:kern w:val="0"/>
          <w14:ligatures w14:val="none"/>
        </w:rPr>
        <w:t xml:space="preserve"> for later transfer. This helps women delay pregnancy, preserve fertility before cancer treatment, avoid repeated stimulation cycles and improve timing of embryo transfer. The global egg freezing and embryo banking market was </w:t>
      </w:r>
      <w:r w:rsidRPr="00B03F0E">
        <w:rPr>
          <w:rFonts w:ascii="Times New Roman" w:eastAsia="Times New Roman" w:hAnsi="Times New Roman" w:cs="Times New Roman"/>
          <w:b/>
          <w:bCs/>
          <w:kern w:val="0"/>
          <w14:ligatures w14:val="none"/>
        </w:rPr>
        <w:t>US$3.9bn in 2022</w:t>
      </w:r>
      <w:r w:rsidRPr="00B03F0E">
        <w:rPr>
          <w:rFonts w:ascii="Times New Roman" w:eastAsia="Times New Roman" w:hAnsi="Times New Roman" w:cs="Times New Roman"/>
          <w:kern w:val="0"/>
          <w14:ligatures w14:val="none"/>
        </w:rPr>
        <w:t xml:space="preserve"> and is expected to reach </w:t>
      </w:r>
      <w:r w:rsidRPr="00B03F0E">
        <w:rPr>
          <w:rFonts w:ascii="Times New Roman" w:eastAsia="Times New Roman" w:hAnsi="Times New Roman" w:cs="Times New Roman"/>
          <w:b/>
          <w:bCs/>
          <w:kern w:val="0"/>
          <w14:ligatures w14:val="none"/>
        </w:rPr>
        <w:t>US$13.8bn by 2030</w:t>
      </w:r>
      <w:r w:rsidRPr="00B03F0E">
        <w:rPr>
          <w:rFonts w:ascii="Times New Roman" w:eastAsia="Times New Roman" w:hAnsi="Times New Roman" w:cs="Times New Roman"/>
          <w:kern w:val="0"/>
          <w14:ligatures w14:val="none"/>
        </w:rPr>
        <w:t xml:space="preserve">, growing much faster than the base IVF market. The clinical shift is visible in ICMART data: frozen embryo transfers rose from </w:t>
      </w:r>
      <w:r w:rsidRPr="00B03F0E">
        <w:rPr>
          <w:rFonts w:ascii="Times New Roman" w:eastAsia="Times New Roman" w:hAnsi="Times New Roman" w:cs="Times New Roman"/>
          <w:b/>
          <w:bCs/>
          <w:kern w:val="0"/>
          <w14:ligatures w14:val="none"/>
        </w:rPr>
        <w:t>38.9% of transfers in 2014 to 57.9% in 2018</w:t>
      </w:r>
      <w:r w:rsidRPr="00B03F0E">
        <w:rPr>
          <w:rFonts w:ascii="Times New Roman" w:eastAsia="Times New Roman" w:hAnsi="Times New Roman" w:cs="Times New Roman"/>
          <w:kern w:val="0"/>
          <w14:ligatures w14:val="none"/>
        </w:rPr>
        <w:t xml:space="preserve">, and “freeze-all” cycles rose from </w:t>
      </w:r>
      <w:r w:rsidRPr="00B03F0E">
        <w:rPr>
          <w:rFonts w:ascii="Times New Roman" w:eastAsia="Times New Roman" w:hAnsi="Times New Roman" w:cs="Times New Roman"/>
          <w:b/>
          <w:bCs/>
          <w:kern w:val="0"/>
          <w14:ligatures w14:val="none"/>
        </w:rPr>
        <w:t>13.1% to 32.7%</w:t>
      </w:r>
      <w:r w:rsidRPr="00B03F0E">
        <w:rPr>
          <w:rFonts w:ascii="Times New Roman" w:eastAsia="Times New Roman" w:hAnsi="Times New Roman" w:cs="Times New Roman"/>
          <w:kern w:val="0"/>
          <w14:ligatures w14:val="none"/>
        </w:rPr>
        <w:t xml:space="preserve"> over the same period. Key ecosystem players include fertility clinics, </w:t>
      </w:r>
      <w:proofErr w:type="spellStart"/>
      <w:r w:rsidRPr="00B03F0E">
        <w:rPr>
          <w:rFonts w:ascii="Times New Roman" w:eastAsia="Times New Roman" w:hAnsi="Times New Roman" w:cs="Times New Roman"/>
          <w:kern w:val="0"/>
          <w14:ligatures w14:val="none"/>
        </w:rPr>
        <w:t>cryobanks</w:t>
      </w:r>
      <w:proofErr w:type="spellEnd"/>
      <w:r w:rsidRPr="00B03F0E">
        <w:rPr>
          <w:rFonts w:ascii="Times New Roman" w:eastAsia="Times New Roman" w:hAnsi="Times New Roman" w:cs="Times New Roman"/>
          <w:kern w:val="0"/>
          <w14:ligatures w14:val="none"/>
        </w:rPr>
        <w:t xml:space="preserve">, </w:t>
      </w:r>
      <w:proofErr w:type="spellStart"/>
      <w:r w:rsidRPr="00B03F0E">
        <w:rPr>
          <w:rFonts w:ascii="Times New Roman" w:eastAsia="Times New Roman" w:hAnsi="Times New Roman" w:cs="Times New Roman"/>
          <w:kern w:val="0"/>
          <w14:ligatures w14:val="none"/>
        </w:rPr>
        <w:t>CooperSurgical</w:t>
      </w:r>
      <w:proofErr w:type="spellEnd"/>
      <w:r w:rsidRPr="00B03F0E">
        <w:rPr>
          <w:rFonts w:ascii="Times New Roman" w:eastAsia="Times New Roman" w:hAnsi="Times New Roman" w:cs="Times New Roman"/>
          <w:kern w:val="0"/>
          <w14:ligatures w14:val="none"/>
        </w:rPr>
        <w:t xml:space="preserve">, </w:t>
      </w:r>
      <w:proofErr w:type="spellStart"/>
      <w:r w:rsidRPr="00B03F0E">
        <w:rPr>
          <w:rFonts w:ascii="Times New Roman" w:eastAsia="Times New Roman" w:hAnsi="Times New Roman" w:cs="Times New Roman"/>
          <w:kern w:val="0"/>
          <w14:ligatures w14:val="none"/>
        </w:rPr>
        <w:t>Vitrolife</w:t>
      </w:r>
      <w:proofErr w:type="spellEnd"/>
      <w:r w:rsidRPr="00B03F0E">
        <w:rPr>
          <w:rFonts w:ascii="Times New Roman" w:eastAsia="Times New Roman" w:hAnsi="Times New Roman" w:cs="Times New Roman"/>
          <w:kern w:val="0"/>
          <w14:ligatures w14:val="none"/>
        </w:rPr>
        <w:t xml:space="preserve"> and other IVF lab suppliers. </w:t>
      </w:r>
    </w:p>
    <w:p w:rsidR="00B03F0E" w:rsidRPr="00B03F0E" w:rsidRDefault="00B03F0E" w:rsidP="00B03F0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03F0E">
        <w:rPr>
          <w:rFonts w:ascii="Times New Roman" w:eastAsia="Times New Roman" w:hAnsi="Times New Roman" w:cs="Times New Roman"/>
          <w:b/>
          <w:bCs/>
          <w:kern w:val="0"/>
          <w:sz w:val="27"/>
          <w:szCs w:val="27"/>
          <w14:ligatures w14:val="none"/>
        </w:rPr>
        <w:t>3. IVF cycles</w:t>
      </w:r>
    </w:p>
    <w:p w:rsidR="00B03F0E" w:rsidRPr="00B03F0E" w:rsidRDefault="00B03F0E" w:rsidP="00B03F0E">
      <w:pPr>
        <w:spacing w:before="100" w:beforeAutospacing="1" w:after="100" w:afterAutospacing="1"/>
        <w:rPr>
          <w:rFonts w:ascii="Times New Roman" w:eastAsia="Times New Roman" w:hAnsi="Times New Roman" w:cs="Times New Roman"/>
          <w:kern w:val="0"/>
          <w14:ligatures w14:val="none"/>
        </w:rPr>
      </w:pPr>
      <w:r w:rsidRPr="00B03F0E">
        <w:rPr>
          <w:rFonts w:ascii="Times New Roman" w:eastAsia="Times New Roman" w:hAnsi="Times New Roman" w:cs="Times New Roman"/>
          <w:b/>
          <w:bCs/>
          <w:kern w:val="0"/>
          <w14:ligatures w14:val="none"/>
        </w:rPr>
        <w:t xml:space="preserve">IVF is the central ART procedure: eggs are retrieved, </w:t>
      </w:r>
      <w:proofErr w:type="spellStart"/>
      <w:r w:rsidRPr="00B03F0E">
        <w:rPr>
          <w:rFonts w:ascii="Times New Roman" w:eastAsia="Times New Roman" w:hAnsi="Times New Roman" w:cs="Times New Roman"/>
          <w:b/>
          <w:bCs/>
          <w:kern w:val="0"/>
          <w14:ligatures w14:val="none"/>
        </w:rPr>
        <w:t>fertilised</w:t>
      </w:r>
      <w:proofErr w:type="spellEnd"/>
      <w:r w:rsidRPr="00B03F0E">
        <w:rPr>
          <w:rFonts w:ascii="Times New Roman" w:eastAsia="Times New Roman" w:hAnsi="Times New Roman" w:cs="Times New Roman"/>
          <w:b/>
          <w:bCs/>
          <w:kern w:val="0"/>
          <w14:ligatures w14:val="none"/>
        </w:rPr>
        <w:t xml:space="preserve"> with sperm in a lab, grown into embryos and then transferred into the uterus.</w:t>
      </w:r>
      <w:r w:rsidRPr="00B03F0E">
        <w:rPr>
          <w:rFonts w:ascii="Times New Roman" w:eastAsia="Times New Roman" w:hAnsi="Times New Roman" w:cs="Times New Roman"/>
          <w:kern w:val="0"/>
          <w14:ligatures w14:val="none"/>
        </w:rPr>
        <w:t xml:space="preserve"> IVF has evolved from a niche procedure into a scaled healthcare-services market because more couples are delaying pregnancy, male-factor infertility is rising, ovarian reserve issues are being diagnosed earlier, and clinic chains are </w:t>
      </w:r>
      <w:proofErr w:type="spellStart"/>
      <w:r w:rsidRPr="00B03F0E">
        <w:rPr>
          <w:rFonts w:ascii="Times New Roman" w:eastAsia="Times New Roman" w:hAnsi="Times New Roman" w:cs="Times New Roman"/>
          <w:kern w:val="0"/>
          <w14:ligatures w14:val="none"/>
        </w:rPr>
        <w:t>standardising</w:t>
      </w:r>
      <w:proofErr w:type="spellEnd"/>
      <w:r w:rsidRPr="00B03F0E">
        <w:rPr>
          <w:rFonts w:ascii="Times New Roman" w:eastAsia="Times New Roman" w:hAnsi="Times New Roman" w:cs="Times New Roman"/>
          <w:kern w:val="0"/>
          <w14:ligatures w14:val="none"/>
        </w:rPr>
        <w:t xml:space="preserve"> lab quality. The global IVF market was </w:t>
      </w:r>
      <w:r w:rsidRPr="00B03F0E">
        <w:rPr>
          <w:rFonts w:ascii="Times New Roman" w:eastAsia="Times New Roman" w:hAnsi="Times New Roman" w:cs="Times New Roman"/>
          <w:b/>
          <w:bCs/>
          <w:kern w:val="0"/>
          <w14:ligatures w14:val="none"/>
        </w:rPr>
        <w:t>US$25.3bn in 2023</w:t>
      </w:r>
      <w:r w:rsidRPr="00B03F0E">
        <w:rPr>
          <w:rFonts w:ascii="Times New Roman" w:eastAsia="Times New Roman" w:hAnsi="Times New Roman" w:cs="Times New Roman"/>
          <w:kern w:val="0"/>
          <w14:ligatures w14:val="none"/>
        </w:rPr>
        <w:t xml:space="preserve"> and is expected to reach </w:t>
      </w:r>
      <w:r w:rsidRPr="00B03F0E">
        <w:rPr>
          <w:rFonts w:ascii="Times New Roman" w:eastAsia="Times New Roman" w:hAnsi="Times New Roman" w:cs="Times New Roman"/>
          <w:b/>
          <w:bCs/>
          <w:kern w:val="0"/>
          <w14:ligatures w14:val="none"/>
        </w:rPr>
        <w:t>US$37.4bn by 2030</w:t>
      </w:r>
      <w:r w:rsidRPr="00B03F0E">
        <w:rPr>
          <w:rFonts w:ascii="Times New Roman" w:eastAsia="Times New Roman" w:hAnsi="Times New Roman" w:cs="Times New Roman"/>
          <w:kern w:val="0"/>
          <w14:ligatures w14:val="none"/>
        </w:rPr>
        <w:t>. The market is not just procedure revenue; it pulls through diagnostics, stimulation drugs, ICSI, embryo freezing, genetic testing and repeat cycles. That is why the best businesses in ART are not consumer wellness brands, but clinics and pharma companies sitting inside the specialist treatment pathway.</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0E"/>
    <w:rsid w:val="007B788F"/>
    <w:rsid w:val="0098646A"/>
    <w:rsid w:val="00B03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AC6ECAF-3EED-2844-B7BF-9C63E77B7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03F0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03F0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03F0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3F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45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2026-07-10T08:22:00Z</dcterms:created>
  <dcterms:modified xsi:type="dcterms:W3CDTF">2026-07-10T08:23:00Z</dcterms:modified>
</cp:coreProperties>
</file>