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88F" w:rsidRDefault="005421B1">
      <w:r>
        <w:t>Mylan launched the sale of its full 5.64% holding on 13 July at a ₹378.50 floor. On 14 July, the entire 92.0 million-share block traded at an average price of about ₹400, generating approximately ₹36.8 billion for Mylan. Biocon receives no proceeds because this is a secondary sale between investors.</w:t>
      </w:r>
    </w:p>
    <w:p w:rsidR="005421B1" w:rsidRDefault="005421B1"/>
    <w:p w:rsidR="005421B1" w:rsidRDefault="005421B1"/>
    <w:p w:rsidR="005421B1" w:rsidRDefault="005421B1">
      <w:r>
        <w:t>Ustekinumab was expected to become one of Biocon’s most important new launches. Yesintek is a biosimilar to Stelara, a large immunology product used across psoriasis and inflammatory bowel diseases. Biocon launched it in the US in February 2025, secured formulary access covering more than 100 million lives and subsequently described it as an early leader and the market-share leader among biosimilars. The launch has grown, but its prescription progression does not support a $200 million outcome in our model. We estimate mature revenue of $120–130 million. This remains a useful product, but a company at Biocon’s valuation needs its leading launches to contribute closer to $200 million. Ustekinumab is unlikely to change the broader earnings trajectory at our estimate.</w:t>
      </w:r>
    </w:p>
    <w:p w:rsidR="005421B1" w:rsidRDefault="005421B1"/>
    <w:p w:rsidR="005421B1" w:rsidRDefault="005421B1" w:rsidP="005421B1">
      <w:pPr>
        <w:pStyle w:val="pdq2pgselectionanchorcontainer"/>
      </w:pPr>
      <w:r>
        <w:t xml:space="preserve">Insulin is progressing better than several of Biocon’s monoclonal-antibody launches. The portfolio now includes recombinant human insulin, long-acting insulin glargine under Semglee and rapid-acting insulin aspart under Kirsty. Management indicated that the global franchise crossed $300 million in FY26 and includes drug substance and finished-dose sales. Glargine has built an approximately 11% US share, while aspart provides Biocon with a second interchangeable US insulin. Competition remains limited today, although new Chinese and European entrants are beginning to emerge. </w:t>
      </w:r>
    </w:p>
    <w:p w:rsidR="005421B1" w:rsidRDefault="005421B1" w:rsidP="005421B1">
      <w:pPr>
        <w:pStyle w:val="NormalWeb"/>
      </w:pPr>
      <w:r>
        <w:t>Biocon has also invested ahead of demand in Malaysia. Its second drug-product line is coming on stream, while the expansion will ultimately double both drug-product and drug-substance capacity. This should support aspart, glargine and human-insulin growth from FY27. We use an insulin revenue base of about $340 million and forecast 11–12% annual growth, rather than 18%. This takes the franchise to approximately $517–535 million after four years. Reaching $1 billion would require roughly 31% annual growth. We also expect incremental tender, private-label and access-driven sales to carry lower margins than Biocon’s current biologics mix. Insulin should add revenue, but it is unlikely to become a $1 billion franchise or close the earnings gap within four years.</w:t>
      </w:r>
    </w:p>
    <w:p w:rsidR="005421B1" w:rsidRDefault="005421B1" w:rsidP="005421B1">
      <w:pPr>
        <w:pStyle w:val="NormalWeb"/>
      </w:pPr>
      <w:r>
        <w:t>Syngene remains a high-quality asset, but it is not a near-term earnings bridge in our forecasts. We model broadly flat FY27 revenue and no material FY28 acceleration, as the visible project pipeline does not support a sharp earnings inflection.</w:t>
      </w:r>
    </w:p>
    <w:p w:rsidR="005421B1" w:rsidRDefault="005421B1"/>
    <w:sectPr w:rsidR="00542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35"/>
    <w:rsid w:val="005421B1"/>
    <w:rsid w:val="007B788F"/>
    <w:rsid w:val="0098646A"/>
    <w:rsid w:val="00E71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4955D"/>
  <w15:chartTrackingRefBased/>
  <w15:docId w15:val="{8B02589B-7B68-8945-BA93-0A3D5F52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143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7143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3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7143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7143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435"/>
    <w:rPr>
      <w:b/>
      <w:bCs/>
    </w:rPr>
  </w:style>
  <w:style w:type="paragraph" w:customStyle="1" w:styleId="pdq2pgselectionanchorcontainer">
    <w:name w:val="pdq2pg_selectionanchorcontainer"/>
    <w:basedOn w:val="Normal"/>
    <w:rsid w:val="005421B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314496">
      <w:bodyDiv w:val="1"/>
      <w:marLeft w:val="0"/>
      <w:marRight w:val="0"/>
      <w:marTop w:val="0"/>
      <w:marBottom w:val="0"/>
      <w:divBdr>
        <w:top w:val="none" w:sz="0" w:space="0" w:color="auto"/>
        <w:left w:val="none" w:sz="0" w:space="0" w:color="auto"/>
        <w:bottom w:val="none" w:sz="0" w:space="0" w:color="auto"/>
        <w:right w:val="none" w:sz="0" w:space="0" w:color="auto"/>
      </w:divBdr>
    </w:div>
    <w:div w:id="1825930957">
      <w:bodyDiv w:val="1"/>
      <w:marLeft w:val="0"/>
      <w:marRight w:val="0"/>
      <w:marTop w:val="0"/>
      <w:marBottom w:val="0"/>
      <w:divBdr>
        <w:top w:val="none" w:sz="0" w:space="0" w:color="auto"/>
        <w:left w:val="none" w:sz="0" w:space="0" w:color="auto"/>
        <w:bottom w:val="none" w:sz="0" w:space="0" w:color="auto"/>
        <w:right w:val="none" w:sz="0" w:space="0" w:color="auto"/>
      </w:divBdr>
    </w:div>
    <w:div w:id="190448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2</cp:revision>
  <dcterms:created xsi:type="dcterms:W3CDTF">2026-07-14T06:08:00Z</dcterms:created>
  <dcterms:modified xsi:type="dcterms:W3CDTF">2026-07-14T07:11:00Z</dcterms:modified>
</cp:coreProperties>
</file>