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963A66" w:rsidRDefault="00000000">
      <w:pPr>
        <w:pStyle w:val="FirstParagraph"/>
      </w:pPr>
      <w:r>
        <w:t>Prostate cancer is a malignancy of the prostate gland, a male reproductive organ located below the bladder, and its commercial relevance is driven by three facts: it is highly prevalent, incidence is rising, and advanced disease requires long-duration systemic therapy. In the US, prostate cancer is expected to be the largest cancer by new diagnoses in 2026, with 333,830 new cases and 36,320 deaths, representing 15.8% of all new cancer cases. There were 3.7mn men living with prostate cancer in the US in 2023, and age-adjusted incidence has been rising by 2.7% annually over 2014 to 2023. The disease is strongly age-linked, with the median age at diagnosis at 68 and the highest share of new cases in the 65 to 74 age group. Clinically, the disease bifurcates into a large localized population with excellent outcomes and a smaller but economically important advanced population. SEER data show 69% of cases are diagnosed at localized stage with 100% five-year relative survival, while 9% are diagnosed with distant metastatic disease and only 40.1% five-year relative survival. This is the central drug-market point: early prostate cancer may be treated with surgery, radiation or surveillance, but recurrent, metastatic or castration-resistant prostate cancer becomes a chronic systemic therapy market. The relevant drug pool for this note is the US androgen receptor pathway inhibitor market represented by Xtandi, Nubeqa and Erleada. In our IQVIA workbook, US sales of these three products expanded from $2.8bn in CY21 to $8.7bn in CY25, implying approximately 33% CAGR. That growth was not simply price inflation. WAC increased by approximately 29% to 30% from Q2 2020 to Q1 2026 across the three products, while sales more than tripled. The read-through is that prostate cancer drug spend is being driven by broader ARPI penetration, earlier-line use, longer treatment duration and label expansion, not by list price alone.</w:t>
      </w:r>
    </w:p>
    <w:p w:rsidR="00963A66" w:rsidRDefault="00000000">
      <w:pPr>
        <w:pStyle w:val="BodyText"/>
      </w:pPr>
      <w:r>
        <w:t xml:space="preserve">The three major oral ARPIs in this analysis are Xtandi, Nubeqa and Erleada. Xtandi is enzalutamide, marketed by Astellas and Pfizer. Nubeqa is darolutamide, marketed by Bayer in partnership with Orion. Erleada is apalutamide, marketed by Janssen, now J&amp;J Innovative Medicine. All three are small-molecule androgen receptor inhibitors. Prostate cancer cells often depend on androgen signalling, mainly testosterone-driven signalling through the androgen receptor. These drugs do not cure prostate cancer; they suppress androgen receptor signalling, slow tumour growth, delay metastasis or progression, and improve outcomes in specific advanced disease settings. Xtandi has the broadest US label across castration-resistant prostate cancer, metastatic castration-sensitive prostate cancer and high-risk biochemical recurrence in non-metastatic castration-sensitive prostate cancer. Nubeqa is approved for non-metastatic castration-resistant prostate cancer and metastatic castration-sensitive prostate cancer, including use with or without docetaxel. Erleada is approved for metastatic castration-sensitive prostate cancer and non-metastatic castration-resistant prostate cancer. Mechanistically, enzalutamide, darolutamide and apalutamide all inhibit androgen receptor signalling, but they are not clinically identical. Xtandi has the longest commercial history and broadest label, which explains why it remains the largest product in the class. Nubeqa’s differentiation is safety and tolerability perception, particularly lower central nervous system exposure. The simple analogy is cetirizine versus desloratadine in allergy. Both can reduce allergy symptoms, but cetirizine is more likely to make some patients sleepy because it has more central </w:t>
      </w:r>
      <w:r>
        <w:lastRenderedPageBreak/>
        <w:t>nervous system exposure, while desloratadine is generally used as a less-sedating alternative. The prostate cancer analogy is not perfect, but the prescribing logic is similar. Xtandi can cross the blood-brain barrier and carries label warnings for seizure, posterior reversible encephalopathy syndrome, dizziness or vertigo, falls and fractures. Nubeqa has low blood-brain barrier penetration in preclinical and clinical pharmacology literature, and its label-reported seizure incidence is lower than Xtandi’s across relevant datasets. For an elderly prostate cancer population with fatigue, falls, cognitive vulnerability, seizure risk and polypharmacy, that difference is commercially meaningful. This is why Nubeqa has scaled rapidly despite entering later. In our dataset, Xtandi US sales rose from $1.77bn in CY21 to $3.65bn in CY25, but its share of the three-drug ARPI pool fell from 63% to 42%. Nubeqa sales increased from $220mn to $2.73bn over the same period, taking share from 8% to 32% and implying approximately 88% CAGR. Erleada grew from $810mn to $2.28bn, implying approximately 29% CAGR, but did not match Nubeqa’s share acceleration. In Q1 CY26, Nubeqa reached $947mn of US sales in the workbook, ahead of Xtandi at $909mn and Erleada at $576mn. The conclusion for the note is precise: generic Xtandi will create price pressure, but Nubeqa is not a simple like-for-like substitute because its lower CNS exposure and cleaner tolerability perception give physicians a clinical reason to keep using it in selected patients.</w:t>
      </w:r>
    </w:p>
    <w:p w:rsidR="00963A66" w:rsidRDefault="00000000">
      <w:pPr>
        <w:pStyle w:val="BodyText"/>
      </w:pPr>
      <w:r>
        <w:t xml:space="preserve">Xtandi is the key patent-cliff asset. Astellas has disclosed that Xtandi substance patents expire in August 2027 in the US, June 2028 in Europe and July 2029 in Japan. FDA generic correspondence for enzalutamide lists three key Orange Book patent expiries for Xtandi tablets and capsules: May 15, 2026, August 24, 2026 and August 13, 2027. The practical US base case is therefore late CY27 or early CY28 generic entry, subject to final approval, settlement mechanics, first-filer exclusivity and any remaining formulation-specific constraints. The visible generic cohort already includes multiple serious players. Sandoz has tentative approval for enzalutamide tablets 40mg and 80mg and FDA has confirmed the product is bioequivalent and therapeutically equivalent to Xtandi tablets. Zydus received tentative USFDA approval in October 2024 for enzalutamide tablets 40mg and 80mg, with manufacturing at its SEZ Ahmedabad facility, and disclosed US annual sales of $1.417bn for enzalutamide tablets on IQVIA MAT July 2024. Actavis is in the capsule pathway and was identified by FDA as one of the first ANDA applicants for enzalutamide capsules 40mg. Eugia, part of the Aurobindo group, has tentative approval for enzalutamide capsules 40mg. Humanwell PuraCap, through Epic Pharma, has tentative approval for enzalutamide capsules 40mg. This is a high-value but not unlimited opportunity for Zydus. Zydus is clearly in the early tablet wave, but it should not be treated as a sole first-filer monopoly. Our modelling should start from the tablet market, not the entire Xtandi franchise. Zydus disclosed a $1.417bn US tablet market as of MAT July 2024. Using the workbook’s trajectory for Xtandi, we estimate the launch-period US tablet market at approximately $2.0bn to $2.3bn on a brand-equivalent basis by late CY27 or early CY28. Using a 30% generic price versus the innovator and assuming generics capture 60% of tablet volume in the first full year, the addressable generic tablet revenue pool would be approximately $360mn to $414mn. If Zydus captures 15% to 18% of that pool in an early multi-entrant market, first full-year Zydus sales would be approximately $55mn to </w:t>
      </w:r>
      <w:r>
        <w:lastRenderedPageBreak/>
        <w:t>$75mn. In year two, if generic volume capture rises to 80% and pricing remains at 30% of the innovator, the generic tablet pool becomes approximately $480mn to $552mn; assuming Zydus share normalizes to 10% to 13%, Zydus sales would be approximately $50mn to $72mn. This is material because it is a high-WAC oral oncology product, with chronic use, a known LOE trigger and limited-competition characteristics versus vanilla oral solids. For Zydus, the relevance is not only the absolute dollar contribution. The approval reinforces execution in high-value US specialty generics, specifically patent-gated oral oncology where development, bioequivalence, litigation timing, launch discipline and specialty-channel access matter more than simple ANDA volume.</w:t>
      </w:r>
    </w:p>
    <w:p w:rsidR="009B5753" w:rsidRDefault="009B5753" w:rsidP="009B5753">
      <w:pPr>
        <w:pStyle w:val="NormalWeb"/>
      </w:pPr>
      <w:r>
        <w:t>The dark-horse beneficiaries are not generic Xtandi suppliers; they are the Indian CDMO and specialty-chemistry companies linked to the Nubeqa manufacturing chain, especially Acutaas Chemicals and Navin Fluorine. The commercial logic starts with Nubeqa’s resilience. If generic enzalutamide enters after Xtandi’s patent cliff, price will become a stronger factor in prostate cancer ARPI prescribing, but price will not be the only factor. Nubeqa is darolutamide, a structurally distinct androgen receptor inhibitor with lower blood-brain barrier penetration and a cleaner CNS tolerability perception versus enzalutamide. In an elderly prostate cancer population, where fatigue, dizziness, falls, cognition, seizure risk and polypharmacy matter in real prescribing, this gives Nubeqa a defensible clinical pocket. Our view is therefore that Nubeqa should not be mechanically substituted away by generic Xtandi. Generic enzalutamide can pressure Xtandi’s price and share, but it does not erase Nubeqa’s differentiated use case.</w:t>
      </w:r>
    </w:p>
    <w:p w:rsidR="009B5753" w:rsidRDefault="009B5753" w:rsidP="009B5753">
      <w:pPr>
        <w:pStyle w:val="NormalWeb"/>
      </w:pPr>
      <w:r>
        <w:t>That matters because Nubeqa is a chemistry-intensive small-molecule oncology product. It was first synthesized and developed by Orion, then partnered with Bayer for late-stage development and global commercialization. The manufacturing chain runs through Orion and its API subsidiary Fermion: Orion manufactures the drug product, while Fermion manufactures darolutamide API. Fermion, in turn, relies on qualified suppliers for advanced intermediates used in the darolutamide value chain. This is where Indian specialty-chemistry companies enter the thesis. Acutaas Chemicals, formerly Ami Organics, has disclosed multi-year, multi-tonne agreements with Fermion for advanced pharmaceutical intermediates for an on-patent product. Market work links these intermediates to darolutamide, the molecule behind Nubeqa. Navin Fluorine is also linked by broker and market sources to darolutamide intermediate supply into Fermion, with a chemistry angle built around complex fluorination and regulated CDMO manufacturing. The precise point is not that Bayer directly buys finished drug from these companies. The point is that Nubeqa’s upstream chemical value chain uses Indian advanced-intermediate and CDMO capabilities, and Acutaas and Navin sit in that supply chain.</w:t>
      </w:r>
    </w:p>
    <w:p w:rsidR="009B5753" w:rsidRDefault="009B5753" w:rsidP="009B5753">
      <w:pPr>
        <w:pStyle w:val="NormalWeb"/>
      </w:pPr>
      <w:r>
        <w:t>The process-chemistry angle is important. Nubeqa is not a commodity chemical product and not a simple off-patent API opportunity. Darolutamide manufacturing requires multi-step synthesis, high-purity intermediates, impurity control, regulatory documentation, validation batches, customer audits and continuity of supply. Once a supplier is qualified into an innovator oncology supply chain, switching is harder than in commodity chemicals because any change can create regulatory, quality and supply-risk friction. This is why CDMO contracts for innovator oncology molecules can be structurally superior to routine chemical supply. They are volume-sensitive, qualification-led and quality-led businesses rather than spot-price commodity businesses.</w:t>
      </w:r>
    </w:p>
    <w:p w:rsidR="009B5753" w:rsidRDefault="009B5753" w:rsidP="009B5753">
      <w:pPr>
        <w:pStyle w:val="NormalWeb"/>
      </w:pPr>
      <w:r>
        <w:lastRenderedPageBreak/>
        <w:t>The investment implication is straightforward. Zydus is the direct beneficiary of generic Xtandi through enzalutamide tablets. Acutaas Chemicals and Navin Fluorine are the Nubeqa-linked dark horses. If Nubeqa holds or gains volume after Xtandi LOE because physicians still value its lower CNS exposure and tolerability profile, then the darolutamide manufacturing chain continues to scale. That supports Acutaas and Navin through advanced-intermediate demand, CDMO utilization and higher-quality chemistry revenues. The thesis is therefore not “Xtandi patent cliff benefits all Indian chemical companies.” The thesis is sharper: generic Xtandi benefits Zydus directly, while Nubeqa’s clinical defensibility can preserve a separate, high-quality CDMO growth pocket for Acutaas Chemicals and Navin Fluorine.</w:t>
      </w:r>
    </w:p>
    <w:p w:rsidR="00963A66" w:rsidRDefault="00963A66">
      <w:pPr>
        <w:pStyle w:val="BodyText"/>
      </w:pPr>
    </w:p>
    <w:sectPr w:rsidR="00963A66">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6CA08F0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3015479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6"/>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963A66"/>
    <w:rsid w:val="00963A66"/>
    <w:rsid w:val="009B57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2E2BEEE"/>
  <w15:docId w15:val="{F1B180C3-89D1-1F48-901A-8F20B61C5F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NormalWeb">
    <w:name w:val="Normal (Web)"/>
    <w:basedOn w:val="Normal"/>
    <w:uiPriority w:val="99"/>
    <w:unhideWhenUsed/>
    <w:rsid w:val="009B5753"/>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3061353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4</Pages>
  <Words>1790</Words>
  <Characters>10207</Characters>
  <Application>Microsoft Office Word</Application>
  <DocSecurity>0</DocSecurity>
  <Lines>85</Lines>
  <Paragraphs>23</Paragraphs>
  <ScaleCrop>false</ScaleCrop>
  <Company/>
  <LinksUpToDate>false</LinksUpToDate>
  <CharactersWithSpaces>11974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Shirsh Sawarna</cp:lastModifiedBy>
  <cp:revision>2</cp:revision>
  <dcterms:created xsi:type="dcterms:W3CDTF">2026-06-22T11:47:00Z</dcterms:created>
  <dcterms:modified xsi:type="dcterms:W3CDTF">2026-06-22T11:48:00Z</dcterms:modified>
</cp:coreProperties>
</file>