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ighlights"/>
    <w:p>
      <w:pPr>
        <w:pStyle w:val="Heading2"/>
      </w:pPr>
      <w:r>
        <w:t xml:space="preserve">Highlights</w:t>
      </w:r>
    </w:p>
    <w:p>
      <w:pPr>
        <w:pStyle w:val="FirstParagraph"/>
      </w:pPr>
      <w:r>
        <w:t xml:space="preserve">Prostate cancer is one of the largest US oncology markets, with 333,830 new cases and 36,320 deaths expected in 2026, and 3.7mn men living with the disease. Incidence has risen 2.7% annually over 2014 to 2023. Xtandi, Nubeqa and Erleada are the key oral ARPIs used in advanced disease. Nubeqa’s differentiation is lower blood-brain barrier penetration, which supports a cleaner CNS tolerability profile versus Xtandi, especially in elderly patients where fatigue, dizziness, falls, cognition and seizure risk affect prescribing.</w:t>
      </w:r>
    </w:p>
    <w:p>
      <w:pPr>
        <w:pStyle w:val="BodyText"/>
      </w:pPr>
      <w:r>
        <w:t xml:space="preserve">Xtandi is the key patent-cliff asset, with US substance patent expiry in August 2027. The visible generic queue includes Sandoz, Zydus, Actavis, Eugia and Humanwell PuraCap across tablet and capsule formulations. Zydus has tentative USFDA approval for enzalutamide tablets 40mg and 80mg, manufactured at SEZ Ahmedabad, against a disclosed US tablet market of $1.417bn on IQVIA MAT July 2024. Assuming generic pricing at 30% of the innovator and multi-entrant market share, we estimate Zydus sales of $55mn to $75mn in year one and $50mn to $72mn in year two.</w:t>
      </w:r>
    </w:p>
    <w:p>
      <w:pPr>
        <w:pStyle w:val="BodyText"/>
      </w:pPr>
      <w:r>
        <w:t xml:space="preserve">The dark-horse read-through is to Nubeqa-linked Indian CDMO suppliers. Generic Xtandi should pressure enzalutamide pricing, but we do not expect automatic substitution away from Nubeqa because darolutamide retains a differentiated tolerability use case. Acutaas Chemicals and Navin Fluorine are linked to the darolutamide manufacturing chain through advanced-intermediate and complex chemistry supply into the Bayer, Orion and Fermion ecosystem. If Nubeqa defends volume post Xtandi LOE, these suppliers can benefit from higher-quality CDMO demand.</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2026-06-22T12:16:15Z</dcterms:created>
  <dcterms:modified xsi:type="dcterms:W3CDTF">2026-06-22T12:16:15Z</dcterms:modified>
</cp:coreProperties>
</file>

<file path=docProps/custom.xml><?xml version="1.0" encoding="utf-8"?>
<Properties xmlns="http://schemas.openxmlformats.org/officeDocument/2006/custom-properties" xmlns:vt="http://schemas.openxmlformats.org/officeDocument/2006/docPropsVTypes"/>
</file>