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5D40" w:rsidRDefault="00525D40" w:rsidP="00525D40">
      <w:pPr>
        <w:pStyle w:val="NormalWeb"/>
      </w:pPr>
      <w:r>
        <w:t>Our IQVIA analysis suggests that Mankind’s domestic performance weakened in Q1 FY27, increasing the risk of a softer quarterly result. Mankind was the slowest-growing company among the selected leading domestic pharma peers in CY26 H1 and grew slower than the IPM in April, May and June. The shortfall therefore persisted through the quarter rather than reflecting one weak month. Sun Pharma grew faster despite operating from a materially larger domestic revenue base, while smaller companies such as Eris also remained ahead. This is consistent with our existing thesis that Mankind’s enlarged portfolio, greater sales-force capacity and acquired businesses have not yet translated into above-market organic growth. We read the fall in prescriptions per doctor as evidence that wider doctor coverage is not generating proportionate incremental prescriptions, although the data does not establish one definitive cause. The trends point to weaker productivity following portfolio and sales-force aggregation. IQVIA growth will not map exactly to reported revenue because of inventory, channel mix, pricing, non-IQVIA sales and consolidation effects. Even after this qualification, the data materially weakens the case for a strong underlying domestic quarter.</w:t>
      </w:r>
    </w:p>
    <w:p w:rsidR="00525D40" w:rsidRDefault="00525D40" w:rsidP="00525D40">
      <w:pPr>
        <w:pStyle w:val="NormalWeb"/>
      </w:pPr>
      <w:r>
        <w:t>The weakness is broad-based across Mankind’s domestic portfolio. Its leading chronic products grew slower than the IPM chronic market through Q1 FY27, despite investment in acquired brands, portfolio expansion and field-force capacity. These investments have increased scale, but have not yet produced above-market growth or meaningful share gains. June chronic growth improved, although part of the acceleration reflected a weaker comparison base in June 2025. Mankind still remained below IPM chronic growth, so we do not read June as evidence of a structural recovery. The acute business matters more because it has historically been Mankind’s core strength. Its large GP network and grassroots reach were expected to make acute therapies more resilient, yet its top acute products also grew slower than the IPM acute market. The gap persisted across several months and widened materially in some periods. The weakness therefore cannot be explained by Mankind’s less-developed chronic franchise alone. When both the developing chronic portfolio and established acute portfolio trail their markets, the issue is broader than therapy mix and points to weaker commercial execution.</w:t>
      </w:r>
    </w:p>
    <w:p w:rsidR="00525D40" w:rsidRDefault="00525D40" w:rsidP="00525D40">
      <w:pPr>
        <w:pStyle w:val="NormalWeb"/>
      </w:pPr>
      <w:r>
        <w:t>The therapy and prescription data shows that this is an overall execution issue rather than an isolated acute, chronic or product-specific problem. Growth moderated across cardiac, anti-infective, gastrointestinal and anti-diabetic therapies in Q1 FY27, while we estimate that gynaecology declined. BSV consolidation supported parts of Q1 FY26 growth, but this benefit had entered the comparison base by Q1 FY27. The acquired portfolio has increased Mankind’s scale without yet creating a stronger underlying growth engine. Mankind’s prescriptions per GP declined for two consecutive years. It still leads Sun Pharma in absolute GP productivity, but the gap is narrowing as Sun improves from a larger base. Mankind’s specialist productivity is below Sun Pharma and declining, while Sun has improved across both channels. Slower organic growth reduces operating leverage from Mankind’s enlarged sales infrastructure and increases downside risk to domestic margins and Q1 FY27 earnings. Sun Pharma is growing faster and improving productivity from a larger base, so we do not believe Mankind’s Indian business deserves the same valuation multiple. Valuation parity requires comparable growth quality, execution and productivity. The current data supports none of these. We maintain Underperform and our ₹2,057 target price.</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69"/>
    <w:rsid w:val="00336969"/>
    <w:rsid w:val="00525D40"/>
    <w:rsid w:val="007B788F"/>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F3962F"/>
  <w15:chartTrackingRefBased/>
  <w15:docId w15:val="{BDF91155-0B99-FF43-9D42-88C7BB8B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696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3696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96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3696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33696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69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133366">
      <w:bodyDiv w:val="1"/>
      <w:marLeft w:val="0"/>
      <w:marRight w:val="0"/>
      <w:marTop w:val="0"/>
      <w:marBottom w:val="0"/>
      <w:divBdr>
        <w:top w:val="none" w:sz="0" w:space="0" w:color="auto"/>
        <w:left w:val="none" w:sz="0" w:space="0" w:color="auto"/>
        <w:bottom w:val="none" w:sz="0" w:space="0" w:color="auto"/>
        <w:right w:val="none" w:sz="0" w:space="0" w:color="auto"/>
      </w:divBdr>
      <w:divsChild>
        <w:div w:id="1030762457">
          <w:marLeft w:val="0"/>
          <w:marRight w:val="0"/>
          <w:marTop w:val="0"/>
          <w:marBottom w:val="0"/>
          <w:divBdr>
            <w:top w:val="none" w:sz="0" w:space="0" w:color="auto"/>
            <w:left w:val="none" w:sz="0" w:space="0" w:color="auto"/>
            <w:bottom w:val="none" w:sz="0" w:space="0" w:color="auto"/>
            <w:right w:val="none" w:sz="0" w:space="0" w:color="auto"/>
          </w:divBdr>
          <w:divsChild>
            <w:div w:id="361564449">
              <w:marLeft w:val="0"/>
              <w:marRight w:val="0"/>
              <w:marTop w:val="0"/>
              <w:marBottom w:val="0"/>
              <w:divBdr>
                <w:top w:val="none" w:sz="0" w:space="0" w:color="auto"/>
                <w:left w:val="none" w:sz="0" w:space="0" w:color="auto"/>
                <w:bottom w:val="none" w:sz="0" w:space="0" w:color="auto"/>
                <w:right w:val="none" w:sz="0" w:space="0" w:color="auto"/>
              </w:divBdr>
              <w:divsChild>
                <w:div w:id="1886133911">
                  <w:marLeft w:val="0"/>
                  <w:marRight w:val="0"/>
                  <w:marTop w:val="0"/>
                  <w:marBottom w:val="0"/>
                  <w:divBdr>
                    <w:top w:val="none" w:sz="0" w:space="0" w:color="auto"/>
                    <w:left w:val="none" w:sz="0" w:space="0" w:color="auto"/>
                    <w:bottom w:val="none" w:sz="0" w:space="0" w:color="auto"/>
                    <w:right w:val="none" w:sz="0" w:space="0" w:color="auto"/>
                  </w:divBdr>
                  <w:divsChild>
                    <w:div w:id="598367632">
                      <w:marLeft w:val="0"/>
                      <w:marRight w:val="0"/>
                      <w:marTop w:val="0"/>
                      <w:marBottom w:val="0"/>
                      <w:divBdr>
                        <w:top w:val="none" w:sz="0" w:space="0" w:color="auto"/>
                        <w:left w:val="none" w:sz="0" w:space="0" w:color="auto"/>
                        <w:bottom w:val="none" w:sz="0" w:space="0" w:color="auto"/>
                        <w:right w:val="none" w:sz="0" w:space="0" w:color="auto"/>
                      </w:divBdr>
                      <w:divsChild>
                        <w:div w:id="631793926">
                          <w:marLeft w:val="0"/>
                          <w:marRight w:val="0"/>
                          <w:marTop w:val="0"/>
                          <w:marBottom w:val="0"/>
                          <w:divBdr>
                            <w:top w:val="none" w:sz="0" w:space="0" w:color="auto"/>
                            <w:left w:val="none" w:sz="0" w:space="0" w:color="auto"/>
                            <w:bottom w:val="none" w:sz="0" w:space="0" w:color="auto"/>
                            <w:right w:val="none" w:sz="0" w:space="0" w:color="auto"/>
                          </w:divBdr>
                          <w:divsChild>
                            <w:div w:id="224335771">
                              <w:marLeft w:val="0"/>
                              <w:marRight w:val="0"/>
                              <w:marTop w:val="0"/>
                              <w:marBottom w:val="0"/>
                              <w:divBdr>
                                <w:top w:val="none" w:sz="0" w:space="0" w:color="auto"/>
                                <w:left w:val="none" w:sz="0" w:space="0" w:color="auto"/>
                                <w:bottom w:val="none" w:sz="0" w:space="0" w:color="auto"/>
                                <w:right w:val="none" w:sz="0" w:space="0" w:color="auto"/>
                              </w:divBdr>
                              <w:divsChild>
                                <w:div w:id="515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52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2</cp:revision>
  <dcterms:created xsi:type="dcterms:W3CDTF">2026-07-15T08:34:00Z</dcterms:created>
  <dcterms:modified xsi:type="dcterms:W3CDTF">2026-07-15T10:39:00Z</dcterms:modified>
</cp:coreProperties>
</file>