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72CB" w:rsidRDefault="004372CB" w:rsidP="004372CB">
      <w:pPr>
        <w:pStyle w:val="pdq2pgselectionanchorcontainer"/>
      </w:pPr>
      <w:r>
        <w:t xml:space="preserve">Biocon Biologics has spent the last five years turning a credible biosimilars R&amp;D and manufacturing platform into a global commercial business. Revenue scaled from ₹23.1bn in FY20 to ₹34.6bn in FY22, before the </w:t>
      </w:r>
      <w:proofErr w:type="spellStart"/>
      <w:r>
        <w:t>Viatris</w:t>
      </w:r>
      <w:proofErr w:type="spellEnd"/>
      <w:r>
        <w:t xml:space="preserve"> biosimilars acquisition reset the base: FY23 revenue rose to ₹55.8bn, FY24 to ₹88.2bn, and FY25 to ₹90.2bn, or 15% like-for-like after adjusting for the India branded formulations divestment, divestment gain and licensing income. The portfolio broadened from the initial U.S. commercial base of </w:t>
      </w:r>
      <w:proofErr w:type="spellStart"/>
      <w:r>
        <w:t>Ogivri</w:t>
      </w:r>
      <w:proofErr w:type="spellEnd"/>
      <w:r>
        <w:t xml:space="preserve">, </w:t>
      </w:r>
      <w:proofErr w:type="spellStart"/>
      <w:r>
        <w:t>Fulphila</w:t>
      </w:r>
      <w:proofErr w:type="spellEnd"/>
      <w:r>
        <w:t xml:space="preserve"> and </w:t>
      </w:r>
      <w:proofErr w:type="spellStart"/>
      <w:r>
        <w:t>Semglee</w:t>
      </w:r>
      <w:proofErr w:type="spellEnd"/>
      <w:r>
        <w:t xml:space="preserve"> into a wider advanced-market franchise across trastuzumab, </w:t>
      </w:r>
      <w:proofErr w:type="spellStart"/>
      <w:r>
        <w:t>pegfilgrastim</w:t>
      </w:r>
      <w:proofErr w:type="spellEnd"/>
      <w:r>
        <w:t xml:space="preserve">, glargine, adalimumab, bevacizumab, </w:t>
      </w:r>
      <w:proofErr w:type="spellStart"/>
      <w:r>
        <w:t>aspart</w:t>
      </w:r>
      <w:proofErr w:type="spellEnd"/>
      <w:r>
        <w:t xml:space="preserve">, </w:t>
      </w:r>
      <w:proofErr w:type="spellStart"/>
      <w:r>
        <w:t>ustekinumab</w:t>
      </w:r>
      <w:proofErr w:type="spellEnd"/>
      <w:r>
        <w:t xml:space="preserve"> and aflibercept. The </w:t>
      </w:r>
      <w:proofErr w:type="spellStart"/>
      <w:r>
        <w:t>Viatris</w:t>
      </w:r>
      <w:proofErr w:type="spellEnd"/>
      <w:r>
        <w:t xml:space="preserve"> transaction was the pivot: before the deal, Biocon participated in roughly one-third of the economics from Advanced Markets and had a 50:50 profit-share in Emerging Markets; after completion in November 2022, it began recording full revenues and costs from the acquired business. The integration then moved rapidly through Emerging Markets in July 2023, North America in September 2023, Europe in November 2023, and the final wave in December 2023, giving Biocon direct commercial reach across 120+ countries and shifting Advanced Markets from ~40% of revenue pre-deal to ~70% post-deal. </w:t>
      </w:r>
    </w:p>
    <w:p w:rsidR="004372CB" w:rsidRDefault="004372CB" w:rsidP="004372CB">
      <w:pPr>
        <w:pStyle w:val="NormalWeb"/>
      </w:pPr>
      <w:r>
        <w:t xml:space="preserve">The issue for investors is that the commercial revenue conversion has remained uneven after the integration step-up. U.S. revenue increased from ₹9.8bn in FY23 to ₹33.2bn in FY24, lifting the U.S. mix from 18% to 38% of Biologics revenue; however, FY25 North America revenue, now disclosed as U.S. plus Canada, was ₹36.5bn versus ₹37.1bn in the comparable FY24 base, despite visibly stronger U.S. market shares. </w:t>
      </w:r>
      <w:proofErr w:type="spellStart"/>
      <w:r>
        <w:t>Fulphila</w:t>
      </w:r>
      <w:proofErr w:type="spellEnd"/>
      <w:r>
        <w:t xml:space="preserve"> rose to 30% share in Q4 CY24 from 16% in Q4 CY23, </w:t>
      </w:r>
      <w:proofErr w:type="spellStart"/>
      <w:r>
        <w:t>Ogivri</w:t>
      </w:r>
      <w:proofErr w:type="spellEnd"/>
      <w:r>
        <w:t xml:space="preserve"> rose to 26% from 12%, and </w:t>
      </w:r>
      <w:proofErr w:type="spellStart"/>
      <w:r>
        <w:t>Semglee</w:t>
      </w:r>
      <w:proofErr w:type="spellEnd"/>
      <w:r>
        <w:t xml:space="preserve"> remained meaningful across channels, while </w:t>
      </w:r>
      <w:proofErr w:type="spellStart"/>
      <w:r>
        <w:t>Yesintek</w:t>
      </w:r>
      <w:proofErr w:type="spellEnd"/>
      <w:r>
        <w:t xml:space="preserve"> launched in Q4 FY25 with formulary coverage across 100m+ lives. Ex-U.S. also failed to provide a clean offset: ex-U.S. / ex-North America revenue was ₹46.0bn in FY23, ₹55.0bn in FY24 and ₹53.6bn in FY25, with Europe broadly stable and India down after the Eris transaction. The annual reports therefore frame a clear debate: Biocon has products that are gaining formulary access and share, yet the revenue line is not compounding in line with that progress. In our view, this is the crux of the stock debate over FY26-27: approvals and launches can support the narrative, but the investment case increasingly depends on whether Biocon can translate share gains in U.S. biosimilars into durable net sales growth after rebate, chargeback and tender pressure.</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2CB"/>
    <w:rsid w:val="004372CB"/>
    <w:rsid w:val="007B788F"/>
    <w:rsid w:val="00986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D3A3C5D-4319-E340-B0BA-1ACB54483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4372CB"/>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372CB"/>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31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2026-07-02T07:19:00Z</dcterms:created>
  <dcterms:modified xsi:type="dcterms:W3CDTF">2026-07-02T07:19:00Z</dcterms:modified>
</cp:coreProperties>
</file>