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C1A3C" w:rsidRPr="00CC1A3C" w:rsidRDefault="00CC1A3C" w:rsidP="00CC1A3C">
      <w:pPr>
        <w:spacing w:before="100" w:beforeAutospacing="1" w:after="100" w:afterAutospacing="1"/>
        <w:rPr>
          <w:rFonts w:ascii="Times New Roman" w:eastAsia="Times New Roman" w:hAnsi="Times New Roman" w:cs="Times New Roman"/>
          <w:kern w:val="0"/>
          <w14:ligatures w14:val="none"/>
        </w:rPr>
      </w:pPr>
      <w:r w:rsidRPr="00CC1A3C">
        <w:rPr>
          <w:rFonts w:ascii="Times New Roman" w:eastAsia="Times New Roman" w:hAnsi="Times New Roman" w:cs="Times New Roman"/>
          <w:b/>
          <w:bCs/>
          <w:kern w:val="0"/>
          <w14:ligatures w14:val="none"/>
        </w:rPr>
        <w:t>Abbott:</w:t>
      </w:r>
      <w:r w:rsidRPr="00CC1A3C">
        <w:rPr>
          <w:rFonts w:ascii="Times New Roman" w:eastAsia="Times New Roman" w:hAnsi="Times New Roman" w:cs="Times New Roman"/>
          <w:kern w:val="0"/>
          <w14:ligatures w14:val="none"/>
        </w:rPr>
        <w:t xml:space="preserve"> Abbott’s women’s health strength is led by </w:t>
      </w:r>
      <w:proofErr w:type="spellStart"/>
      <w:r w:rsidRPr="00CC1A3C">
        <w:rPr>
          <w:rFonts w:ascii="Times New Roman" w:eastAsia="Times New Roman" w:hAnsi="Times New Roman" w:cs="Times New Roman"/>
          <w:b/>
          <w:bCs/>
          <w:kern w:val="0"/>
          <w14:ligatures w14:val="none"/>
        </w:rPr>
        <w:t>Duphaston</w:t>
      </w:r>
      <w:proofErr w:type="spellEnd"/>
      <w:r w:rsidRPr="00CC1A3C">
        <w:rPr>
          <w:rFonts w:ascii="Times New Roman" w:eastAsia="Times New Roman" w:hAnsi="Times New Roman" w:cs="Times New Roman"/>
          <w:kern w:val="0"/>
          <w14:ligatures w14:val="none"/>
        </w:rPr>
        <w:t xml:space="preserve">, or </w:t>
      </w:r>
      <w:proofErr w:type="spellStart"/>
      <w:r w:rsidRPr="00CC1A3C">
        <w:rPr>
          <w:rFonts w:ascii="Times New Roman" w:eastAsia="Times New Roman" w:hAnsi="Times New Roman" w:cs="Times New Roman"/>
          <w:kern w:val="0"/>
          <w14:ligatures w14:val="none"/>
        </w:rPr>
        <w:t>dydrogesterone</w:t>
      </w:r>
      <w:proofErr w:type="spellEnd"/>
      <w:r w:rsidRPr="00CC1A3C">
        <w:rPr>
          <w:rFonts w:ascii="Times New Roman" w:eastAsia="Times New Roman" w:hAnsi="Times New Roman" w:cs="Times New Roman"/>
          <w:kern w:val="0"/>
          <w14:ligatures w14:val="none"/>
        </w:rPr>
        <w:t xml:space="preserve">. This is a progesterone-support brand used in luteal insufficiency, menstrual disorders, pregnancy support and, in many markets, around fertility / ART protocols. For India, we estimate </w:t>
      </w:r>
      <w:proofErr w:type="spellStart"/>
      <w:r w:rsidRPr="00CC1A3C">
        <w:rPr>
          <w:rFonts w:ascii="Times New Roman" w:eastAsia="Times New Roman" w:hAnsi="Times New Roman" w:cs="Times New Roman"/>
          <w:kern w:val="0"/>
          <w14:ligatures w14:val="none"/>
        </w:rPr>
        <w:t>Duphaston</w:t>
      </w:r>
      <w:proofErr w:type="spellEnd"/>
      <w:r w:rsidRPr="00CC1A3C">
        <w:rPr>
          <w:rFonts w:ascii="Times New Roman" w:eastAsia="Times New Roman" w:hAnsi="Times New Roman" w:cs="Times New Roman"/>
          <w:kern w:val="0"/>
          <w14:ligatures w14:val="none"/>
        </w:rPr>
        <w:t xml:space="preserve"> is now a </w:t>
      </w:r>
      <w:r w:rsidRPr="00CC1A3C">
        <w:rPr>
          <w:rFonts w:ascii="Times New Roman" w:eastAsia="Times New Roman" w:hAnsi="Times New Roman" w:cs="Times New Roman"/>
          <w:b/>
          <w:bCs/>
          <w:kern w:val="0"/>
          <w14:ligatures w14:val="none"/>
        </w:rPr>
        <w:t>₹450–500cr annual brand</w:t>
      </w:r>
      <w:r w:rsidRPr="00CC1A3C">
        <w:rPr>
          <w:rFonts w:ascii="Times New Roman" w:eastAsia="Times New Roman" w:hAnsi="Times New Roman" w:cs="Times New Roman"/>
          <w:kern w:val="0"/>
          <w14:ligatures w14:val="none"/>
        </w:rPr>
        <w:t xml:space="preserve">, or roughly </w:t>
      </w:r>
      <w:r w:rsidRPr="00CC1A3C">
        <w:rPr>
          <w:rFonts w:ascii="Times New Roman" w:eastAsia="Times New Roman" w:hAnsi="Times New Roman" w:cs="Times New Roman"/>
          <w:b/>
          <w:bCs/>
          <w:kern w:val="0"/>
          <w14:ligatures w14:val="none"/>
        </w:rPr>
        <w:t>US$55–60mn</w:t>
      </w:r>
      <w:r w:rsidRPr="00CC1A3C">
        <w:rPr>
          <w:rFonts w:ascii="Times New Roman" w:eastAsia="Times New Roman" w:hAnsi="Times New Roman" w:cs="Times New Roman"/>
          <w:kern w:val="0"/>
          <w14:ligatures w14:val="none"/>
        </w:rPr>
        <w:t xml:space="preserve">, based on earlier reported annual sales of c.₹350cr and continued growth in Abbott India’s women’s health portfolio. Abbott India’s FY25 annual report says its women’s health business grew </w:t>
      </w:r>
      <w:r w:rsidRPr="00CC1A3C">
        <w:rPr>
          <w:rFonts w:ascii="Times New Roman" w:eastAsia="Times New Roman" w:hAnsi="Times New Roman" w:cs="Times New Roman"/>
          <w:b/>
          <w:bCs/>
          <w:kern w:val="0"/>
          <w14:ligatures w14:val="none"/>
        </w:rPr>
        <w:t>15.9%</w:t>
      </w:r>
      <w:r w:rsidRPr="00CC1A3C">
        <w:rPr>
          <w:rFonts w:ascii="Times New Roman" w:eastAsia="Times New Roman" w:hAnsi="Times New Roman" w:cs="Times New Roman"/>
          <w:kern w:val="0"/>
          <w14:ligatures w14:val="none"/>
        </w:rPr>
        <w:t xml:space="preserve">, and it also launched </w:t>
      </w:r>
      <w:proofErr w:type="spellStart"/>
      <w:r w:rsidRPr="00CC1A3C">
        <w:rPr>
          <w:rFonts w:ascii="Times New Roman" w:eastAsia="Times New Roman" w:hAnsi="Times New Roman" w:cs="Times New Roman"/>
          <w:b/>
          <w:bCs/>
          <w:kern w:val="0"/>
          <w14:ligatures w14:val="none"/>
        </w:rPr>
        <w:t>Duphaston</w:t>
      </w:r>
      <w:proofErr w:type="spellEnd"/>
      <w:r w:rsidRPr="00CC1A3C">
        <w:rPr>
          <w:rFonts w:ascii="Times New Roman" w:eastAsia="Times New Roman" w:hAnsi="Times New Roman" w:cs="Times New Roman"/>
          <w:b/>
          <w:bCs/>
          <w:kern w:val="0"/>
          <w14:ligatures w14:val="none"/>
        </w:rPr>
        <w:t xml:space="preserve"> OD</w:t>
      </w:r>
      <w:r w:rsidRPr="00CC1A3C">
        <w:rPr>
          <w:rFonts w:ascii="Times New Roman" w:eastAsia="Times New Roman" w:hAnsi="Times New Roman" w:cs="Times New Roman"/>
          <w:kern w:val="0"/>
          <w14:ligatures w14:val="none"/>
        </w:rPr>
        <w:t xml:space="preserve"> in March 2025. The margin profile should remain strong because this is a mature branded-generic product with deep </w:t>
      </w:r>
      <w:proofErr w:type="spellStart"/>
      <w:r w:rsidRPr="00CC1A3C">
        <w:rPr>
          <w:rFonts w:ascii="Times New Roman" w:eastAsia="Times New Roman" w:hAnsi="Times New Roman" w:cs="Times New Roman"/>
          <w:kern w:val="0"/>
          <w14:ligatures w14:val="none"/>
        </w:rPr>
        <w:t>gynaecologist</w:t>
      </w:r>
      <w:proofErr w:type="spellEnd"/>
      <w:r w:rsidRPr="00CC1A3C">
        <w:rPr>
          <w:rFonts w:ascii="Times New Roman" w:eastAsia="Times New Roman" w:hAnsi="Times New Roman" w:cs="Times New Roman"/>
          <w:kern w:val="0"/>
          <w14:ligatures w14:val="none"/>
        </w:rPr>
        <w:t xml:space="preserve"> recall, limited capex </w:t>
      </w:r>
      <w:proofErr w:type="gramStart"/>
      <w:r w:rsidRPr="00CC1A3C">
        <w:rPr>
          <w:rFonts w:ascii="Times New Roman" w:eastAsia="Times New Roman" w:hAnsi="Times New Roman" w:cs="Times New Roman"/>
          <w:kern w:val="0"/>
          <w14:ligatures w14:val="none"/>
        </w:rPr>
        <w:t>need</w:t>
      </w:r>
      <w:proofErr w:type="gramEnd"/>
      <w:r w:rsidRPr="00CC1A3C">
        <w:rPr>
          <w:rFonts w:ascii="Times New Roman" w:eastAsia="Times New Roman" w:hAnsi="Times New Roman" w:cs="Times New Roman"/>
          <w:kern w:val="0"/>
          <w14:ligatures w14:val="none"/>
        </w:rPr>
        <w:t xml:space="preserve"> and high repeat prescription use. Competition has increased after the entry of Indian </w:t>
      </w:r>
      <w:proofErr w:type="spellStart"/>
      <w:r w:rsidRPr="00CC1A3C">
        <w:rPr>
          <w:rFonts w:ascii="Times New Roman" w:eastAsia="Times New Roman" w:hAnsi="Times New Roman" w:cs="Times New Roman"/>
          <w:kern w:val="0"/>
          <w14:ligatures w14:val="none"/>
        </w:rPr>
        <w:t>dydrogesterone</w:t>
      </w:r>
      <w:proofErr w:type="spellEnd"/>
      <w:r w:rsidRPr="00CC1A3C">
        <w:rPr>
          <w:rFonts w:ascii="Times New Roman" w:eastAsia="Times New Roman" w:hAnsi="Times New Roman" w:cs="Times New Roman"/>
          <w:kern w:val="0"/>
          <w14:ligatures w14:val="none"/>
        </w:rPr>
        <w:t xml:space="preserve"> generics from Mankind, Emcure, </w:t>
      </w:r>
      <w:proofErr w:type="spellStart"/>
      <w:r w:rsidRPr="00CC1A3C">
        <w:rPr>
          <w:rFonts w:ascii="Times New Roman" w:eastAsia="Times New Roman" w:hAnsi="Times New Roman" w:cs="Times New Roman"/>
          <w:kern w:val="0"/>
          <w14:ligatures w14:val="none"/>
        </w:rPr>
        <w:t>Alkem</w:t>
      </w:r>
      <w:proofErr w:type="spellEnd"/>
      <w:r w:rsidRPr="00CC1A3C">
        <w:rPr>
          <w:rFonts w:ascii="Times New Roman" w:eastAsia="Times New Roman" w:hAnsi="Times New Roman" w:cs="Times New Roman"/>
          <w:kern w:val="0"/>
          <w14:ligatures w14:val="none"/>
        </w:rPr>
        <w:t xml:space="preserve">, Torrent, Eris and others, but </w:t>
      </w:r>
      <w:proofErr w:type="spellStart"/>
      <w:r w:rsidRPr="00CC1A3C">
        <w:rPr>
          <w:rFonts w:ascii="Times New Roman" w:eastAsia="Times New Roman" w:hAnsi="Times New Roman" w:cs="Times New Roman"/>
          <w:kern w:val="0"/>
          <w14:ligatures w14:val="none"/>
        </w:rPr>
        <w:t>Duphaston</w:t>
      </w:r>
      <w:proofErr w:type="spellEnd"/>
      <w:r w:rsidRPr="00CC1A3C">
        <w:rPr>
          <w:rFonts w:ascii="Times New Roman" w:eastAsia="Times New Roman" w:hAnsi="Times New Roman" w:cs="Times New Roman"/>
          <w:kern w:val="0"/>
          <w14:ligatures w14:val="none"/>
        </w:rPr>
        <w:t xml:space="preserve"> remains the reference brand in the category. The read-through for our note is simple: Abbott is not an IVF-chain company, but it owns one of the most relevant prescription bridges between </w:t>
      </w:r>
      <w:proofErr w:type="spellStart"/>
      <w:r w:rsidRPr="00CC1A3C">
        <w:rPr>
          <w:rFonts w:ascii="Times New Roman" w:eastAsia="Times New Roman" w:hAnsi="Times New Roman" w:cs="Times New Roman"/>
          <w:kern w:val="0"/>
          <w14:ligatures w14:val="none"/>
        </w:rPr>
        <w:t>gynaecology</w:t>
      </w:r>
      <w:proofErr w:type="spellEnd"/>
      <w:r w:rsidRPr="00CC1A3C">
        <w:rPr>
          <w:rFonts w:ascii="Times New Roman" w:eastAsia="Times New Roman" w:hAnsi="Times New Roman" w:cs="Times New Roman"/>
          <w:kern w:val="0"/>
          <w14:ligatures w14:val="none"/>
        </w:rPr>
        <w:t xml:space="preserve"> and fertility treatment. </w:t>
      </w:r>
    </w:p>
    <w:p w:rsidR="00CC1A3C" w:rsidRPr="00CC1A3C" w:rsidRDefault="00CC1A3C" w:rsidP="00CC1A3C">
      <w:pPr>
        <w:spacing w:before="100" w:beforeAutospacing="1" w:after="100" w:afterAutospacing="1"/>
        <w:rPr>
          <w:rFonts w:ascii="Times New Roman" w:eastAsia="Times New Roman" w:hAnsi="Times New Roman" w:cs="Times New Roman"/>
          <w:kern w:val="0"/>
          <w14:ligatures w14:val="none"/>
        </w:rPr>
      </w:pPr>
      <w:r w:rsidRPr="00CC1A3C">
        <w:rPr>
          <w:rFonts w:ascii="Times New Roman" w:eastAsia="Times New Roman" w:hAnsi="Times New Roman" w:cs="Times New Roman"/>
          <w:b/>
          <w:bCs/>
          <w:kern w:val="0"/>
          <w14:ligatures w14:val="none"/>
        </w:rPr>
        <w:t>AbbVie:</w:t>
      </w:r>
      <w:r w:rsidRPr="00CC1A3C">
        <w:rPr>
          <w:rFonts w:ascii="Times New Roman" w:eastAsia="Times New Roman" w:hAnsi="Times New Roman" w:cs="Times New Roman"/>
          <w:kern w:val="0"/>
          <w14:ligatures w14:val="none"/>
        </w:rPr>
        <w:t xml:space="preserve"> AbbVie’s women’s health relevance is concentrated in </w:t>
      </w:r>
      <w:proofErr w:type="spellStart"/>
      <w:r w:rsidRPr="00CC1A3C">
        <w:rPr>
          <w:rFonts w:ascii="Times New Roman" w:eastAsia="Times New Roman" w:hAnsi="Times New Roman" w:cs="Times New Roman"/>
          <w:b/>
          <w:bCs/>
          <w:kern w:val="0"/>
          <w14:ligatures w14:val="none"/>
        </w:rPr>
        <w:t>Orilissa</w:t>
      </w:r>
      <w:proofErr w:type="spellEnd"/>
      <w:r w:rsidRPr="00CC1A3C">
        <w:rPr>
          <w:rFonts w:ascii="Times New Roman" w:eastAsia="Times New Roman" w:hAnsi="Times New Roman" w:cs="Times New Roman"/>
          <w:b/>
          <w:bCs/>
          <w:kern w:val="0"/>
          <w14:ligatures w14:val="none"/>
        </w:rPr>
        <w:t xml:space="preserve"> / </w:t>
      </w:r>
      <w:proofErr w:type="spellStart"/>
      <w:r w:rsidRPr="00CC1A3C">
        <w:rPr>
          <w:rFonts w:ascii="Times New Roman" w:eastAsia="Times New Roman" w:hAnsi="Times New Roman" w:cs="Times New Roman"/>
          <w:b/>
          <w:bCs/>
          <w:kern w:val="0"/>
          <w14:ligatures w14:val="none"/>
        </w:rPr>
        <w:t>Oriahnn</w:t>
      </w:r>
      <w:proofErr w:type="spellEnd"/>
      <w:r w:rsidRPr="00CC1A3C">
        <w:rPr>
          <w:rFonts w:ascii="Times New Roman" w:eastAsia="Times New Roman" w:hAnsi="Times New Roman" w:cs="Times New Roman"/>
          <w:kern w:val="0"/>
          <w14:ligatures w14:val="none"/>
        </w:rPr>
        <w:t xml:space="preserve">, both based on </w:t>
      </w:r>
      <w:proofErr w:type="spellStart"/>
      <w:r w:rsidRPr="00CC1A3C">
        <w:rPr>
          <w:rFonts w:ascii="Times New Roman" w:eastAsia="Times New Roman" w:hAnsi="Times New Roman" w:cs="Times New Roman"/>
          <w:b/>
          <w:bCs/>
          <w:kern w:val="0"/>
          <w14:ligatures w14:val="none"/>
        </w:rPr>
        <w:t>elagolix</w:t>
      </w:r>
      <w:proofErr w:type="spellEnd"/>
      <w:r w:rsidRPr="00CC1A3C">
        <w:rPr>
          <w:rFonts w:ascii="Times New Roman" w:eastAsia="Times New Roman" w:hAnsi="Times New Roman" w:cs="Times New Roman"/>
          <w:kern w:val="0"/>
          <w14:ligatures w14:val="none"/>
        </w:rPr>
        <w:t xml:space="preserve">, an oral GnRH antagonist. </w:t>
      </w:r>
      <w:proofErr w:type="spellStart"/>
      <w:r w:rsidRPr="00CC1A3C">
        <w:rPr>
          <w:rFonts w:ascii="Times New Roman" w:eastAsia="Times New Roman" w:hAnsi="Times New Roman" w:cs="Times New Roman"/>
          <w:kern w:val="0"/>
          <w14:ligatures w14:val="none"/>
        </w:rPr>
        <w:t>Orilissa</w:t>
      </w:r>
      <w:proofErr w:type="spellEnd"/>
      <w:r w:rsidRPr="00CC1A3C">
        <w:rPr>
          <w:rFonts w:ascii="Times New Roman" w:eastAsia="Times New Roman" w:hAnsi="Times New Roman" w:cs="Times New Roman"/>
          <w:kern w:val="0"/>
          <w14:ligatures w14:val="none"/>
        </w:rPr>
        <w:t xml:space="preserve"> was approved by the US FDA in 2018 for moderate-to-severe endometriosis pain, while </w:t>
      </w:r>
      <w:proofErr w:type="spellStart"/>
      <w:r w:rsidRPr="00CC1A3C">
        <w:rPr>
          <w:rFonts w:ascii="Times New Roman" w:eastAsia="Times New Roman" w:hAnsi="Times New Roman" w:cs="Times New Roman"/>
          <w:kern w:val="0"/>
          <w14:ligatures w14:val="none"/>
        </w:rPr>
        <w:t>Oriahnn</w:t>
      </w:r>
      <w:proofErr w:type="spellEnd"/>
      <w:r w:rsidRPr="00CC1A3C">
        <w:rPr>
          <w:rFonts w:ascii="Times New Roman" w:eastAsia="Times New Roman" w:hAnsi="Times New Roman" w:cs="Times New Roman"/>
          <w:kern w:val="0"/>
          <w14:ligatures w14:val="none"/>
        </w:rPr>
        <w:t xml:space="preserve"> was approved in 2020 for heavy menstrual bleeding linked to uterine fibroids. These diseases matter for fertility because endometriosis and fibroids are large, underdiagnosed pools that can reduce conception probability, increase pain, distort the uterus and push patients toward specialist care. Commercially, the franchise did not become the blockbuster that early expectations implied. </w:t>
      </w:r>
      <w:proofErr w:type="spellStart"/>
      <w:r w:rsidRPr="00CC1A3C">
        <w:rPr>
          <w:rFonts w:ascii="Times New Roman" w:eastAsia="Times New Roman" w:hAnsi="Times New Roman" w:cs="Times New Roman"/>
          <w:kern w:val="0"/>
          <w14:ligatures w14:val="none"/>
        </w:rPr>
        <w:t>Orilissa</w:t>
      </w:r>
      <w:proofErr w:type="spellEnd"/>
      <w:r w:rsidRPr="00CC1A3C">
        <w:rPr>
          <w:rFonts w:ascii="Times New Roman" w:eastAsia="Times New Roman" w:hAnsi="Times New Roman" w:cs="Times New Roman"/>
          <w:kern w:val="0"/>
          <w14:ligatures w14:val="none"/>
        </w:rPr>
        <w:t xml:space="preserve"> last disclosed US net revenue was </w:t>
      </w:r>
      <w:r w:rsidRPr="00CC1A3C">
        <w:rPr>
          <w:rFonts w:ascii="Times New Roman" w:eastAsia="Times New Roman" w:hAnsi="Times New Roman" w:cs="Times New Roman"/>
          <w:b/>
          <w:bCs/>
          <w:kern w:val="0"/>
          <w14:ligatures w14:val="none"/>
        </w:rPr>
        <w:t>US$139mn in 2021</w:t>
      </w:r>
      <w:r w:rsidRPr="00CC1A3C">
        <w:rPr>
          <w:rFonts w:ascii="Times New Roman" w:eastAsia="Times New Roman" w:hAnsi="Times New Roman" w:cs="Times New Roman"/>
          <w:kern w:val="0"/>
          <w14:ligatures w14:val="none"/>
        </w:rPr>
        <w:t xml:space="preserve">; we estimate the current </w:t>
      </w:r>
      <w:proofErr w:type="spellStart"/>
      <w:r w:rsidRPr="00CC1A3C">
        <w:rPr>
          <w:rFonts w:ascii="Times New Roman" w:eastAsia="Times New Roman" w:hAnsi="Times New Roman" w:cs="Times New Roman"/>
          <w:kern w:val="0"/>
          <w14:ligatures w14:val="none"/>
        </w:rPr>
        <w:t>Orilissa</w:t>
      </w:r>
      <w:proofErr w:type="spellEnd"/>
      <w:r w:rsidRPr="00CC1A3C">
        <w:rPr>
          <w:rFonts w:ascii="Times New Roman" w:eastAsia="Times New Roman" w:hAnsi="Times New Roman" w:cs="Times New Roman"/>
          <w:kern w:val="0"/>
          <w14:ligatures w14:val="none"/>
        </w:rPr>
        <w:t xml:space="preserve"> / </w:t>
      </w:r>
      <w:proofErr w:type="spellStart"/>
      <w:r w:rsidRPr="00CC1A3C">
        <w:rPr>
          <w:rFonts w:ascii="Times New Roman" w:eastAsia="Times New Roman" w:hAnsi="Times New Roman" w:cs="Times New Roman"/>
          <w:kern w:val="0"/>
          <w14:ligatures w14:val="none"/>
        </w:rPr>
        <w:t>Oriahnn</w:t>
      </w:r>
      <w:proofErr w:type="spellEnd"/>
      <w:r w:rsidRPr="00CC1A3C">
        <w:rPr>
          <w:rFonts w:ascii="Times New Roman" w:eastAsia="Times New Roman" w:hAnsi="Times New Roman" w:cs="Times New Roman"/>
          <w:kern w:val="0"/>
          <w14:ligatures w14:val="none"/>
        </w:rPr>
        <w:t xml:space="preserve"> combined run-rate is likely </w:t>
      </w:r>
      <w:r w:rsidRPr="00CC1A3C">
        <w:rPr>
          <w:rFonts w:ascii="Times New Roman" w:eastAsia="Times New Roman" w:hAnsi="Times New Roman" w:cs="Times New Roman"/>
          <w:b/>
          <w:bCs/>
          <w:kern w:val="0"/>
          <w14:ligatures w14:val="none"/>
        </w:rPr>
        <w:t>US$100–150mn</w:t>
      </w:r>
      <w:r w:rsidRPr="00CC1A3C">
        <w:rPr>
          <w:rFonts w:ascii="Times New Roman" w:eastAsia="Times New Roman" w:hAnsi="Times New Roman" w:cs="Times New Roman"/>
          <w:kern w:val="0"/>
          <w14:ligatures w14:val="none"/>
        </w:rPr>
        <w:t xml:space="preserve">, with high gross margin but limited relevance inside AbbVie’s US$60bn-plus revenue base. The investment point is still useful: AbbVie proves that infertility-linked women’s health is a real drug-development category, but the commercial bar is high, payor access is difficult, and even good science does not automatically create a large equity story. </w:t>
      </w:r>
    </w:p>
    <w:p w:rsidR="00CC1A3C" w:rsidRPr="00CC1A3C" w:rsidRDefault="00CC1A3C" w:rsidP="00CC1A3C">
      <w:pPr>
        <w:spacing w:before="100" w:beforeAutospacing="1" w:after="100" w:afterAutospacing="1"/>
        <w:rPr>
          <w:rFonts w:ascii="Times New Roman" w:eastAsia="Times New Roman" w:hAnsi="Times New Roman" w:cs="Times New Roman"/>
          <w:kern w:val="0"/>
          <w14:ligatures w14:val="none"/>
        </w:rPr>
      </w:pPr>
      <w:r w:rsidRPr="00CC1A3C">
        <w:rPr>
          <w:rFonts w:ascii="Times New Roman" w:eastAsia="Times New Roman" w:hAnsi="Times New Roman" w:cs="Times New Roman"/>
          <w:b/>
          <w:bCs/>
          <w:kern w:val="0"/>
          <w14:ligatures w14:val="none"/>
        </w:rPr>
        <w:t>Takeda:</w:t>
      </w:r>
      <w:r w:rsidRPr="00CC1A3C">
        <w:rPr>
          <w:rFonts w:ascii="Times New Roman" w:eastAsia="Times New Roman" w:hAnsi="Times New Roman" w:cs="Times New Roman"/>
          <w:kern w:val="0"/>
          <w14:ligatures w14:val="none"/>
        </w:rPr>
        <w:t xml:space="preserve"> Takeda’s main women’s health exposure is </w:t>
      </w:r>
      <w:proofErr w:type="spellStart"/>
      <w:r w:rsidRPr="00CC1A3C">
        <w:rPr>
          <w:rFonts w:ascii="Times New Roman" w:eastAsia="Times New Roman" w:hAnsi="Times New Roman" w:cs="Times New Roman"/>
          <w:b/>
          <w:bCs/>
          <w:kern w:val="0"/>
          <w14:ligatures w14:val="none"/>
        </w:rPr>
        <w:t>Relumina</w:t>
      </w:r>
      <w:proofErr w:type="spellEnd"/>
      <w:r w:rsidRPr="00CC1A3C">
        <w:rPr>
          <w:rFonts w:ascii="Times New Roman" w:eastAsia="Times New Roman" w:hAnsi="Times New Roman" w:cs="Times New Roman"/>
          <w:kern w:val="0"/>
          <w14:ligatures w14:val="none"/>
        </w:rPr>
        <w:t xml:space="preserve">, or </w:t>
      </w:r>
      <w:proofErr w:type="spellStart"/>
      <w:r w:rsidRPr="00CC1A3C">
        <w:rPr>
          <w:rFonts w:ascii="Times New Roman" w:eastAsia="Times New Roman" w:hAnsi="Times New Roman" w:cs="Times New Roman"/>
          <w:kern w:val="0"/>
          <w14:ligatures w14:val="none"/>
        </w:rPr>
        <w:t>relugolix</w:t>
      </w:r>
      <w:proofErr w:type="spellEnd"/>
      <w:r w:rsidRPr="00CC1A3C">
        <w:rPr>
          <w:rFonts w:ascii="Times New Roman" w:eastAsia="Times New Roman" w:hAnsi="Times New Roman" w:cs="Times New Roman"/>
          <w:kern w:val="0"/>
          <w14:ligatures w14:val="none"/>
        </w:rPr>
        <w:t xml:space="preserve">, an oral GnRH receptor antagonist for uterine fibroids and endometriosis in Japan. Takeda licensed Japanese women’s health rights to </w:t>
      </w:r>
      <w:r w:rsidRPr="00CC1A3C">
        <w:rPr>
          <w:rFonts w:ascii="Times New Roman" w:eastAsia="Times New Roman" w:hAnsi="Times New Roman" w:cs="Times New Roman"/>
          <w:b/>
          <w:bCs/>
          <w:kern w:val="0"/>
          <w14:ligatures w14:val="none"/>
        </w:rPr>
        <w:t>ASKA</w:t>
      </w:r>
      <w:r w:rsidRPr="00CC1A3C">
        <w:rPr>
          <w:rFonts w:ascii="Times New Roman" w:eastAsia="Times New Roman" w:hAnsi="Times New Roman" w:cs="Times New Roman"/>
          <w:kern w:val="0"/>
          <w14:ligatures w14:val="none"/>
        </w:rPr>
        <w:t xml:space="preserve">, and ASKA </w:t>
      </w:r>
      <w:proofErr w:type="spellStart"/>
      <w:r w:rsidRPr="00CC1A3C">
        <w:rPr>
          <w:rFonts w:ascii="Times New Roman" w:eastAsia="Times New Roman" w:hAnsi="Times New Roman" w:cs="Times New Roman"/>
          <w:kern w:val="0"/>
          <w14:ligatures w14:val="none"/>
        </w:rPr>
        <w:t>commercialises</w:t>
      </w:r>
      <w:proofErr w:type="spellEnd"/>
      <w:r w:rsidRPr="00CC1A3C">
        <w:rPr>
          <w:rFonts w:ascii="Times New Roman" w:eastAsia="Times New Roman" w:hAnsi="Times New Roman" w:cs="Times New Roman"/>
          <w:kern w:val="0"/>
          <w14:ligatures w14:val="none"/>
        </w:rPr>
        <w:t xml:space="preserve"> the product. </w:t>
      </w:r>
      <w:proofErr w:type="spellStart"/>
      <w:r w:rsidRPr="00CC1A3C">
        <w:rPr>
          <w:rFonts w:ascii="Times New Roman" w:eastAsia="Times New Roman" w:hAnsi="Times New Roman" w:cs="Times New Roman"/>
          <w:kern w:val="0"/>
          <w14:ligatures w14:val="none"/>
        </w:rPr>
        <w:t>Relumina</w:t>
      </w:r>
      <w:proofErr w:type="spellEnd"/>
      <w:r w:rsidRPr="00CC1A3C">
        <w:rPr>
          <w:rFonts w:ascii="Times New Roman" w:eastAsia="Times New Roman" w:hAnsi="Times New Roman" w:cs="Times New Roman"/>
          <w:kern w:val="0"/>
          <w14:ligatures w14:val="none"/>
        </w:rPr>
        <w:t xml:space="preserve"> generated </w:t>
      </w:r>
      <w:r w:rsidRPr="00CC1A3C">
        <w:rPr>
          <w:rFonts w:ascii="Times New Roman" w:eastAsia="Times New Roman" w:hAnsi="Times New Roman" w:cs="Times New Roman"/>
          <w:b/>
          <w:bCs/>
          <w:kern w:val="0"/>
          <w14:ligatures w14:val="none"/>
        </w:rPr>
        <w:t>¥8.8bn sales in FY24</w:t>
      </w:r>
      <w:r w:rsidRPr="00CC1A3C">
        <w:rPr>
          <w:rFonts w:ascii="Times New Roman" w:eastAsia="Times New Roman" w:hAnsi="Times New Roman" w:cs="Times New Roman"/>
          <w:kern w:val="0"/>
          <w14:ligatures w14:val="none"/>
        </w:rPr>
        <w:t xml:space="preserve">, up </w:t>
      </w:r>
      <w:r w:rsidRPr="00CC1A3C">
        <w:rPr>
          <w:rFonts w:ascii="Times New Roman" w:eastAsia="Times New Roman" w:hAnsi="Times New Roman" w:cs="Times New Roman"/>
          <w:b/>
          <w:bCs/>
          <w:kern w:val="0"/>
          <w14:ligatures w14:val="none"/>
        </w:rPr>
        <w:t>5.9% YoY</w:t>
      </w:r>
      <w:r w:rsidRPr="00CC1A3C">
        <w:rPr>
          <w:rFonts w:ascii="Times New Roman" w:eastAsia="Times New Roman" w:hAnsi="Times New Roman" w:cs="Times New Roman"/>
          <w:kern w:val="0"/>
          <w14:ligatures w14:val="none"/>
        </w:rPr>
        <w:t xml:space="preserve">, which is roughly </w:t>
      </w:r>
      <w:r w:rsidRPr="00CC1A3C">
        <w:rPr>
          <w:rFonts w:ascii="Times New Roman" w:eastAsia="Times New Roman" w:hAnsi="Times New Roman" w:cs="Times New Roman"/>
          <w:b/>
          <w:bCs/>
          <w:kern w:val="0"/>
          <w14:ligatures w14:val="none"/>
        </w:rPr>
        <w:t>US$55–60mn</w:t>
      </w:r>
      <w:r w:rsidRPr="00CC1A3C">
        <w:rPr>
          <w:rFonts w:ascii="Times New Roman" w:eastAsia="Times New Roman" w:hAnsi="Times New Roman" w:cs="Times New Roman"/>
          <w:kern w:val="0"/>
          <w14:ligatures w14:val="none"/>
        </w:rPr>
        <w:t xml:space="preserve">. We estimate Takeda’s direct economics are much smaller, likely </w:t>
      </w:r>
      <w:r w:rsidRPr="00CC1A3C">
        <w:rPr>
          <w:rFonts w:ascii="Times New Roman" w:eastAsia="Times New Roman" w:hAnsi="Times New Roman" w:cs="Times New Roman"/>
          <w:b/>
          <w:bCs/>
          <w:kern w:val="0"/>
          <w14:ligatures w14:val="none"/>
        </w:rPr>
        <w:t>US$6–9mn annual royalty / license-linked income</w:t>
      </w:r>
      <w:r w:rsidRPr="00CC1A3C">
        <w:rPr>
          <w:rFonts w:ascii="Times New Roman" w:eastAsia="Times New Roman" w:hAnsi="Times New Roman" w:cs="Times New Roman"/>
          <w:kern w:val="0"/>
          <w14:ligatures w14:val="none"/>
        </w:rPr>
        <w:t xml:space="preserve"> if we assume a low-to-mid teens royalty structure. The product is clinically relevant because fibroids and endometriosis sit close to the infertility pathway, but the economics are not large enough to make Takeda a women’s health stock. The future angle is the </w:t>
      </w:r>
      <w:proofErr w:type="spellStart"/>
      <w:r w:rsidRPr="00CC1A3C">
        <w:rPr>
          <w:rFonts w:ascii="Times New Roman" w:eastAsia="Times New Roman" w:hAnsi="Times New Roman" w:cs="Times New Roman"/>
          <w:b/>
          <w:bCs/>
          <w:kern w:val="0"/>
          <w14:ligatures w14:val="none"/>
        </w:rPr>
        <w:t>relugolix</w:t>
      </w:r>
      <w:proofErr w:type="spellEnd"/>
      <w:r w:rsidRPr="00CC1A3C">
        <w:rPr>
          <w:rFonts w:ascii="Times New Roman" w:eastAsia="Times New Roman" w:hAnsi="Times New Roman" w:cs="Times New Roman"/>
          <w:b/>
          <w:bCs/>
          <w:kern w:val="0"/>
          <w14:ligatures w14:val="none"/>
        </w:rPr>
        <w:t xml:space="preserve"> combination tablet</w:t>
      </w:r>
      <w:r w:rsidRPr="00CC1A3C">
        <w:rPr>
          <w:rFonts w:ascii="Times New Roman" w:eastAsia="Times New Roman" w:hAnsi="Times New Roman" w:cs="Times New Roman"/>
          <w:kern w:val="0"/>
          <w14:ligatures w14:val="none"/>
        </w:rPr>
        <w:t xml:space="preserve">, where ASKA and Takeda expanded rights in 2024 for longer-duration use in endometriosis and fibroids. </w:t>
      </w:r>
      <w:proofErr w:type="gramStart"/>
      <w:r w:rsidRPr="00CC1A3C">
        <w:rPr>
          <w:rFonts w:ascii="Times New Roman" w:eastAsia="Times New Roman" w:hAnsi="Times New Roman" w:cs="Times New Roman"/>
          <w:kern w:val="0"/>
          <w14:ligatures w14:val="none"/>
        </w:rPr>
        <w:t>So</w:t>
      </w:r>
      <w:proofErr w:type="gramEnd"/>
      <w:r w:rsidRPr="00CC1A3C">
        <w:rPr>
          <w:rFonts w:ascii="Times New Roman" w:eastAsia="Times New Roman" w:hAnsi="Times New Roman" w:cs="Times New Roman"/>
          <w:kern w:val="0"/>
          <w14:ligatures w14:val="none"/>
        </w:rPr>
        <w:t xml:space="preserve"> Takeda is best seen as a product-science benchmark: relevant molecule, real disease pool, but narrow financial exposure. </w:t>
      </w:r>
    </w:p>
    <w:p w:rsidR="007B788F" w:rsidRDefault="007B788F"/>
    <w:p w:rsidR="00CC1A3C" w:rsidRDefault="00CC1A3C"/>
    <w:p w:rsidR="00CC1A3C" w:rsidRDefault="00CC1A3C"/>
    <w:p w:rsidR="00CC1A3C" w:rsidRDefault="00CC1A3C"/>
    <w:p w:rsidR="00CC1A3C" w:rsidRDefault="00CC1A3C"/>
    <w:p w:rsidR="00CC1A3C" w:rsidRDefault="00CC1A3C"/>
    <w:p w:rsidR="00CC1A3C" w:rsidRDefault="00CC1A3C"/>
    <w:p w:rsidR="00CC1A3C" w:rsidRDefault="00CC1A3C"/>
    <w:p w:rsidR="00CC1A3C" w:rsidRPr="00CC1A3C" w:rsidRDefault="00CC1A3C" w:rsidP="00CC1A3C">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C1A3C">
        <w:rPr>
          <w:rFonts w:ascii="Times New Roman" w:eastAsia="Times New Roman" w:hAnsi="Times New Roman" w:cs="Times New Roman"/>
          <w:b/>
          <w:bCs/>
          <w:kern w:val="0"/>
          <w:sz w:val="36"/>
          <w:szCs w:val="36"/>
          <w14:ligatures w14:val="none"/>
        </w:rPr>
        <w:t>SUN PHARMA AND MANKIND MOVE IN THE RIGHT DIRECTION, BUT EXECUTION RISK IS VERY DIFFERENT</w:t>
      </w:r>
    </w:p>
    <w:p w:rsidR="00CC1A3C" w:rsidRPr="00CC1A3C" w:rsidRDefault="00CC1A3C" w:rsidP="00CC1A3C">
      <w:pPr>
        <w:spacing w:before="100" w:beforeAutospacing="1" w:after="100" w:afterAutospacing="1"/>
        <w:rPr>
          <w:rFonts w:ascii="Times New Roman" w:eastAsia="Times New Roman" w:hAnsi="Times New Roman" w:cs="Times New Roman"/>
          <w:kern w:val="0"/>
          <w14:ligatures w14:val="none"/>
        </w:rPr>
      </w:pPr>
      <w:r w:rsidRPr="00CC1A3C">
        <w:rPr>
          <w:rFonts w:ascii="Times New Roman" w:eastAsia="Times New Roman" w:hAnsi="Times New Roman" w:cs="Times New Roman"/>
          <w:b/>
          <w:bCs/>
          <w:kern w:val="0"/>
          <w14:ligatures w14:val="none"/>
        </w:rPr>
        <w:t>Sun Pharma / Organon: the real read-through is Organon’s fertility-drug platform, not its contraception business.</w:t>
      </w:r>
      <w:r w:rsidRPr="00CC1A3C">
        <w:rPr>
          <w:rFonts w:ascii="Times New Roman" w:eastAsia="Times New Roman" w:hAnsi="Times New Roman" w:cs="Times New Roman"/>
          <w:kern w:val="0"/>
          <w14:ligatures w14:val="none"/>
        </w:rPr>
        <w:t xml:space="preserve"> Organon reported US$1.75bn of women’s health revenue in 2025, but for this note the relevant pool is the fertility part of the portfolio. The key products are </w:t>
      </w:r>
      <w:proofErr w:type="spellStart"/>
      <w:r w:rsidRPr="00CC1A3C">
        <w:rPr>
          <w:rFonts w:ascii="Times New Roman" w:eastAsia="Times New Roman" w:hAnsi="Times New Roman" w:cs="Times New Roman"/>
          <w:kern w:val="0"/>
          <w14:ligatures w14:val="none"/>
        </w:rPr>
        <w:t>Follistim</w:t>
      </w:r>
      <w:proofErr w:type="spellEnd"/>
      <w:r w:rsidRPr="00CC1A3C">
        <w:rPr>
          <w:rFonts w:ascii="Times New Roman" w:eastAsia="Times New Roman" w:hAnsi="Times New Roman" w:cs="Times New Roman"/>
          <w:kern w:val="0"/>
          <w14:ligatures w14:val="none"/>
        </w:rPr>
        <w:t xml:space="preserve"> AQ / </w:t>
      </w:r>
      <w:proofErr w:type="spellStart"/>
      <w:r w:rsidRPr="00CC1A3C">
        <w:rPr>
          <w:rFonts w:ascii="Times New Roman" w:eastAsia="Times New Roman" w:hAnsi="Times New Roman" w:cs="Times New Roman"/>
          <w:kern w:val="0"/>
          <w14:ligatures w14:val="none"/>
        </w:rPr>
        <w:t>Puregon</w:t>
      </w:r>
      <w:proofErr w:type="spellEnd"/>
      <w:r w:rsidRPr="00CC1A3C">
        <w:rPr>
          <w:rFonts w:ascii="Times New Roman" w:eastAsia="Times New Roman" w:hAnsi="Times New Roman" w:cs="Times New Roman"/>
          <w:kern w:val="0"/>
          <w14:ligatures w14:val="none"/>
        </w:rPr>
        <w:t xml:space="preserve">, Ganirelix / </w:t>
      </w:r>
      <w:proofErr w:type="spellStart"/>
      <w:r w:rsidRPr="00CC1A3C">
        <w:rPr>
          <w:rFonts w:ascii="Times New Roman" w:eastAsia="Times New Roman" w:hAnsi="Times New Roman" w:cs="Times New Roman"/>
          <w:kern w:val="0"/>
          <w14:ligatures w14:val="none"/>
        </w:rPr>
        <w:t>Orgalutran</w:t>
      </w:r>
      <w:proofErr w:type="spellEnd"/>
      <w:r w:rsidRPr="00CC1A3C">
        <w:rPr>
          <w:rFonts w:ascii="Times New Roman" w:eastAsia="Times New Roman" w:hAnsi="Times New Roman" w:cs="Times New Roman"/>
          <w:kern w:val="0"/>
          <w14:ligatures w14:val="none"/>
        </w:rPr>
        <w:t xml:space="preserve">, </w:t>
      </w:r>
      <w:proofErr w:type="spellStart"/>
      <w:r w:rsidRPr="00CC1A3C">
        <w:rPr>
          <w:rFonts w:ascii="Times New Roman" w:eastAsia="Times New Roman" w:hAnsi="Times New Roman" w:cs="Times New Roman"/>
          <w:kern w:val="0"/>
          <w14:ligatures w14:val="none"/>
        </w:rPr>
        <w:t>Elonva</w:t>
      </w:r>
      <w:proofErr w:type="spellEnd"/>
      <w:r w:rsidRPr="00CC1A3C">
        <w:rPr>
          <w:rFonts w:ascii="Times New Roman" w:eastAsia="Times New Roman" w:hAnsi="Times New Roman" w:cs="Times New Roman"/>
          <w:kern w:val="0"/>
          <w14:ligatures w14:val="none"/>
        </w:rPr>
        <w:t xml:space="preserve"> and </w:t>
      </w:r>
      <w:proofErr w:type="spellStart"/>
      <w:r w:rsidRPr="00CC1A3C">
        <w:rPr>
          <w:rFonts w:ascii="Times New Roman" w:eastAsia="Times New Roman" w:hAnsi="Times New Roman" w:cs="Times New Roman"/>
          <w:kern w:val="0"/>
          <w14:ligatures w14:val="none"/>
        </w:rPr>
        <w:t>Pregnyl</w:t>
      </w:r>
      <w:proofErr w:type="spellEnd"/>
      <w:r w:rsidRPr="00CC1A3C">
        <w:rPr>
          <w:rFonts w:ascii="Times New Roman" w:eastAsia="Times New Roman" w:hAnsi="Times New Roman" w:cs="Times New Roman"/>
          <w:kern w:val="0"/>
          <w14:ligatures w14:val="none"/>
        </w:rPr>
        <w:t xml:space="preserve">. </w:t>
      </w:r>
      <w:proofErr w:type="spellStart"/>
      <w:r w:rsidRPr="00CC1A3C">
        <w:rPr>
          <w:rFonts w:ascii="Times New Roman" w:eastAsia="Times New Roman" w:hAnsi="Times New Roman" w:cs="Times New Roman"/>
          <w:kern w:val="0"/>
          <w14:ligatures w14:val="none"/>
        </w:rPr>
        <w:t>Follistim</w:t>
      </w:r>
      <w:proofErr w:type="spellEnd"/>
      <w:r w:rsidRPr="00CC1A3C">
        <w:rPr>
          <w:rFonts w:ascii="Times New Roman" w:eastAsia="Times New Roman" w:hAnsi="Times New Roman" w:cs="Times New Roman"/>
          <w:kern w:val="0"/>
          <w14:ligatures w14:val="none"/>
        </w:rPr>
        <w:t xml:space="preserve"> AQ is the largest disclosed fertility product, with US$264mn of 2025 sales, up 11% YoY; US sales were US$112mn and ex-US sales were US$152mn. Ganirelix added another US$101mn of disclosed fertility sales, mostly ex-US. The product logic is simple: </w:t>
      </w:r>
      <w:proofErr w:type="spellStart"/>
      <w:r w:rsidRPr="00CC1A3C">
        <w:rPr>
          <w:rFonts w:ascii="Times New Roman" w:eastAsia="Times New Roman" w:hAnsi="Times New Roman" w:cs="Times New Roman"/>
          <w:kern w:val="0"/>
          <w14:ligatures w14:val="none"/>
        </w:rPr>
        <w:t>Follistim</w:t>
      </w:r>
      <w:proofErr w:type="spellEnd"/>
      <w:r w:rsidRPr="00CC1A3C">
        <w:rPr>
          <w:rFonts w:ascii="Times New Roman" w:eastAsia="Times New Roman" w:hAnsi="Times New Roman" w:cs="Times New Roman"/>
          <w:kern w:val="0"/>
          <w14:ligatures w14:val="none"/>
        </w:rPr>
        <w:t xml:space="preserve"> / </w:t>
      </w:r>
      <w:proofErr w:type="spellStart"/>
      <w:r w:rsidRPr="00CC1A3C">
        <w:rPr>
          <w:rFonts w:ascii="Times New Roman" w:eastAsia="Times New Roman" w:hAnsi="Times New Roman" w:cs="Times New Roman"/>
          <w:kern w:val="0"/>
          <w14:ligatures w14:val="none"/>
        </w:rPr>
        <w:t>Puregon</w:t>
      </w:r>
      <w:proofErr w:type="spellEnd"/>
      <w:r w:rsidRPr="00CC1A3C">
        <w:rPr>
          <w:rFonts w:ascii="Times New Roman" w:eastAsia="Times New Roman" w:hAnsi="Times New Roman" w:cs="Times New Roman"/>
          <w:kern w:val="0"/>
          <w14:ligatures w14:val="none"/>
        </w:rPr>
        <w:t xml:space="preserve"> stimulates multiple follicles, </w:t>
      </w:r>
      <w:proofErr w:type="spellStart"/>
      <w:r w:rsidRPr="00CC1A3C">
        <w:rPr>
          <w:rFonts w:ascii="Times New Roman" w:eastAsia="Times New Roman" w:hAnsi="Times New Roman" w:cs="Times New Roman"/>
          <w:kern w:val="0"/>
          <w14:ligatures w14:val="none"/>
        </w:rPr>
        <w:t>Elonva</w:t>
      </w:r>
      <w:proofErr w:type="spellEnd"/>
      <w:r w:rsidRPr="00CC1A3C">
        <w:rPr>
          <w:rFonts w:ascii="Times New Roman" w:eastAsia="Times New Roman" w:hAnsi="Times New Roman" w:cs="Times New Roman"/>
          <w:kern w:val="0"/>
          <w14:ligatures w14:val="none"/>
        </w:rPr>
        <w:t xml:space="preserve"> offers longer-acting follicle stimulation, Ganirelix prevents premature LH surge, and </w:t>
      </w:r>
      <w:proofErr w:type="spellStart"/>
      <w:r w:rsidRPr="00CC1A3C">
        <w:rPr>
          <w:rFonts w:ascii="Times New Roman" w:eastAsia="Times New Roman" w:hAnsi="Times New Roman" w:cs="Times New Roman"/>
          <w:kern w:val="0"/>
          <w14:ligatures w14:val="none"/>
        </w:rPr>
        <w:t>Pregnyl</w:t>
      </w:r>
      <w:proofErr w:type="spellEnd"/>
      <w:r w:rsidRPr="00CC1A3C">
        <w:rPr>
          <w:rFonts w:ascii="Times New Roman" w:eastAsia="Times New Roman" w:hAnsi="Times New Roman" w:cs="Times New Roman"/>
          <w:kern w:val="0"/>
          <w14:ligatures w14:val="none"/>
        </w:rPr>
        <w:t xml:space="preserve"> is used as an </w:t>
      </w:r>
      <w:proofErr w:type="spellStart"/>
      <w:r w:rsidRPr="00CC1A3C">
        <w:rPr>
          <w:rFonts w:ascii="Times New Roman" w:eastAsia="Times New Roman" w:hAnsi="Times New Roman" w:cs="Times New Roman"/>
          <w:kern w:val="0"/>
          <w14:ligatures w14:val="none"/>
        </w:rPr>
        <w:t>hCG</w:t>
      </w:r>
      <w:proofErr w:type="spellEnd"/>
      <w:r w:rsidRPr="00CC1A3C">
        <w:rPr>
          <w:rFonts w:ascii="Times New Roman" w:eastAsia="Times New Roman" w:hAnsi="Times New Roman" w:cs="Times New Roman"/>
          <w:kern w:val="0"/>
          <w14:ligatures w14:val="none"/>
        </w:rPr>
        <w:t xml:space="preserve"> trigger. These are not wellness products. They sit inside IVF / ART protocols and are prescribed by fertility specialists. </w:t>
      </w:r>
    </w:p>
    <w:p w:rsidR="00CC1A3C" w:rsidRPr="00CC1A3C" w:rsidRDefault="00CC1A3C" w:rsidP="00CC1A3C">
      <w:pPr>
        <w:spacing w:before="100" w:beforeAutospacing="1" w:after="100" w:afterAutospacing="1"/>
        <w:rPr>
          <w:rFonts w:ascii="Times New Roman" w:eastAsia="Times New Roman" w:hAnsi="Times New Roman" w:cs="Times New Roman"/>
          <w:kern w:val="0"/>
          <w14:ligatures w14:val="none"/>
        </w:rPr>
      </w:pPr>
      <w:r w:rsidRPr="00CC1A3C">
        <w:rPr>
          <w:rFonts w:ascii="Times New Roman" w:eastAsia="Times New Roman" w:hAnsi="Times New Roman" w:cs="Times New Roman"/>
          <w:b/>
          <w:bCs/>
          <w:kern w:val="0"/>
          <w14:ligatures w14:val="none"/>
        </w:rPr>
        <w:t>This is why the Organon deal makes strategic sense for Sun.</w:t>
      </w:r>
      <w:r w:rsidRPr="00CC1A3C">
        <w:rPr>
          <w:rFonts w:ascii="Times New Roman" w:eastAsia="Times New Roman" w:hAnsi="Times New Roman" w:cs="Times New Roman"/>
          <w:kern w:val="0"/>
          <w14:ligatures w14:val="none"/>
        </w:rPr>
        <w:t xml:space="preserve"> Sun had limited standalone exposure to fertility and women’s health, while Organon gives it a ready global platform: prescription brands, fertility products, manufacturing depth, and access to more than 90 women’s health markets. The acquisition also gives Sun a stronger emerging-market angle. India’s fertility market is moving from fragmented doctor clinics to </w:t>
      </w:r>
      <w:proofErr w:type="spellStart"/>
      <w:r w:rsidRPr="00CC1A3C">
        <w:rPr>
          <w:rFonts w:ascii="Times New Roman" w:eastAsia="Times New Roman" w:hAnsi="Times New Roman" w:cs="Times New Roman"/>
          <w:kern w:val="0"/>
          <w14:ligatures w14:val="none"/>
        </w:rPr>
        <w:t>organised</w:t>
      </w:r>
      <w:proofErr w:type="spellEnd"/>
      <w:r w:rsidRPr="00CC1A3C">
        <w:rPr>
          <w:rFonts w:ascii="Times New Roman" w:eastAsia="Times New Roman" w:hAnsi="Times New Roman" w:cs="Times New Roman"/>
          <w:kern w:val="0"/>
          <w14:ligatures w14:val="none"/>
        </w:rPr>
        <w:t xml:space="preserve"> ART platforms, and these clinics need reliable stimulation drugs, triggers, antagonist products, medical support and supply continuity. Sun’s specialty and emerging-market GTM can help scale Organon’s ART-linked fertility portfolio in India and other growth markets. This is the reason we see the acquisition as directionally positive for Sun and stay constructive on the stock. </w:t>
      </w:r>
    </w:p>
    <w:p w:rsidR="00CC1A3C" w:rsidRPr="00CC1A3C" w:rsidRDefault="00CC1A3C" w:rsidP="00CC1A3C">
      <w:pPr>
        <w:spacing w:before="100" w:beforeAutospacing="1" w:after="100" w:afterAutospacing="1"/>
        <w:rPr>
          <w:rFonts w:ascii="Times New Roman" w:eastAsia="Times New Roman" w:hAnsi="Times New Roman" w:cs="Times New Roman"/>
          <w:kern w:val="0"/>
          <w14:ligatures w14:val="none"/>
        </w:rPr>
      </w:pPr>
      <w:r w:rsidRPr="00CC1A3C">
        <w:rPr>
          <w:rFonts w:ascii="Times New Roman" w:eastAsia="Times New Roman" w:hAnsi="Times New Roman" w:cs="Times New Roman"/>
          <w:b/>
          <w:bCs/>
          <w:kern w:val="0"/>
          <w14:ligatures w14:val="none"/>
        </w:rPr>
        <w:t>Mankind / BSV: strategically right category, but weak natural synergy.</w:t>
      </w:r>
      <w:r w:rsidRPr="00CC1A3C">
        <w:rPr>
          <w:rFonts w:ascii="Times New Roman" w:eastAsia="Times New Roman" w:hAnsi="Times New Roman" w:cs="Times New Roman"/>
          <w:kern w:val="0"/>
          <w14:ligatures w14:val="none"/>
        </w:rPr>
        <w:t xml:space="preserve"> Before BSV, Mankind’s reproductive-health strength was largely consumer-led: </w:t>
      </w:r>
      <w:proofErr w:type="spellStart"/>
      <w:r w:rsidRPr="00CC1A3C">
        <w:rPr>
          <w:rFonts w:ascii="Times New Roman" w:eastAsia="Times New Roman" w:hAnsi="Times New Roman" w:cs="Times New Roman"/>
          <w:kern w:val="0"/>
          <w14:ligatures w14:val="none"/>
        </w:rPr>
        <w:t>Manforce</w:t>
      </w:r>
      <w:proofErr w:type="spellEnd"/>
      <w:r w:rsidRPr="00CC1A3C">
        <w:rPr>
          <w:rFonts w:ascii="Times New Roman" w:eastAsia="Times New Roman" w:hAnsi="Times New Roman" w:cs="Times New Roman"/>
          <w:kern w:val="0"/>
          <w14:ligatures w14:val="none"/>
        </w:rPr>
        <w:t xml:space="preserve"> in condoms, </w:t>
      </w:r>
      <w:proofErr w:type="spellStart"/>
      <w:r w:rsidRPr="00CC1A3C">
        <w:rPr>
          <w:rFonts w:ascii="Times New Roman" w:eastAsia="Times New Roman" w:hAnsi="Times New Roman" w:cs="Times New Roman"/>
          <w:kern w:val="0"/>
          <w14:ligatures w14:val="none"/>
        </w:rPr>
        <w:t>Prega</w:t>
      </w:r>
      <w:proofErr w:type="spellEnd"/>
      <w:r w:rsidRPr="00CC1A3C">
        <w:rPr>
          <w:rFonts w:ascii="Times New Roman" w:eastAsia="Times New Roman" w:hAnsi="Times New Roman" w:cs="Times New Roman"/>
          <w:kern w:val="0"/>
          <w14:ligatures w14:val="none"/>
        </w:rPr>
        <w:t xml:space="preserve"> News in pregnancy testing and Unwanted-72 in emergency contraception. This gave Mankind high brand recall, retail reach and mass-market distribution. But BSV is a very different asset. It is a prescription women’s health and fertility business, with products across infertility, pregnancy support, Anti-D, recombinant hormones and gonadotropin biosimilars such as FSH, LH and </w:t>
      </w:r>
      <w:proofErr w:type="spellStart"/>
      <w:r w:rsidRPr="00CC1A3C">
        <w:rPr>
          <w:rFonts w:ascii="Times New Roman" w:eastAsia="Times New Roman" w:hAnsi="Times New Roman" w:cs="Times New Roman"/>
          <w:kern w:val="0"/>
          <w14:ligatures w14:val="none"/>
        </w:rPr>
        <w:t>hCG</w:t>
      </w:r>
      <w:proofErr w:type="spellEnd"/>
      <w:r w:rsidRPr="00CC1A3C">
        <w:rPr>
          <w:rFonts w:ascii="Times New Roman" w:eastAsia="Times New Roman" w:hAnsi="Times New Roman" w:cs="Times New Roman"/>
          <w:kern w:val="0"/>
          <w14:ligatures w14:val="none"/>
        </w:rPr>
        <w:t xml:space="preserve">. Mankind acquired BSV for ₹13,768cr; BSV had FY24 revenue of ₹1,723cr, up 20% YoY. This is a real fertility asset, but it is not sold like </w:t>
      </w:r>
      <w:proofErr w:type="spellStart"/>
      <w:r w:rsidRPr="00CC1A3C">
        <w:rPr>
          <w:rFonts w:ascii="Times New Roman" w:eastAsia="Times New Roman" w:hAnsi="Times New Roman" w:cs="Times New Roman"/>
          <w:kern w:val="0"/>
          <w14:ligatures w14:val="none"/>
        </w:rPr>
        <w:t>Manforce</w:t>
      </w:r>
      <w:proofErr w:type="spellEnd"/>
      <w:r w:rsidRPr="00CC1A3C">
        <w:rPr>
          <w:rFonts w:ascii="Times New Roman" w:eastAsia="Times New Roman" w:hAnsi="Times New Roman" w:cs="Times New Roman"/>
          <w:kern w:val="0"/>
          <w14:ligatures w14:val="none"/>
        </w:rPr>
        <w:t xml:space="preserve"> or Unwanted-72. It is sold through </w:t>
      </w:r>
      <w:proofErr w:type="spellStart"/>
      <w:r w:rsidRPr="00CC1A3C">
        <w:rPr>
          <w:rFonts w:ascii="Times New Roman" w:eastAsia="Times New Roman" w:hAnsi="Times New Roman" w:cs="Times New Roman"/>
          <w:kern w:val="0"/>
          <w14:ligatures w14:val="none"/>
        </w:rPr>
        <w:t>gynaecologists</w:t>
      </w:r>
      <w:proofErr w:type="spellEnd"/>
      <w:r w:rsidRPr="00CC1A3C">
        <w:rPr>
          <w:rFonts w:ascii="Times New Roman" w:eastAsia="Times New Roman" w:hAnsi="Times New Roman" w:cs="Times New Roman"/>
          <w:kern w:val="0"/>
          <w14:ligatures w14:val="none"/>
        </w:rPr>
        <w:t xml:space="preserve">, IVF specialists, KOL trust, protocol usage and supply reliability. </w:t>
      </w:r>
    </w:p>
    <w:p w:rsidR="00CC1A3C" w:rsidRPr="00CC1A3C" w:rsidRDefault="00CC1A3C" w:rsidP="00CC1A3C">
      <w:pPr>
        <w:spacing w:before="100" w:beforeAutospacing="1" w:after="100" w:afterAutospacing="1"/>
        <w:rPr>
          <w:rFonts w:ascii="Times New Roman" w:eastAsia="Times New Roman" w:hAnsi="Times New Roman" w:cs="Times New Roman"/>
          <w:kern w:val="0"/>
          <w14:ligatures w14:val="none"/>
        </w:rPr>
      </w:pPr>
      <w:r w:rsidRPr="00CC1A3C">
        <w:rPr>
          <w:rFonts w:ascii="Times New Roman" w:eastAsia="Times New Roman" w:hAnsi="Times New Roman" w:cs="Times New Roman"/>
          <w:b/>
          <w:bCs/>
          <w:kern w:val="0"/>
          <w14:ligatures w14:val="none"/>
        </w:rPr>
        <w:t>That is the issue for investors.</w:t>
      </w:r>
      <w:r w:rsidRPr="00CC1A3C">
        <w:rPr>
          <w:rFonts w:ascii="Times New Roman" w:eastAsia="Times New Roman" w:hAnsi="Times New Roman" w:cs="Times New Roman"/>
          <w:kern w:val="0"/>
          <w14:ligatures w14:val="none"/>
        </w:rPr>
        <w:t xml:space="preserve"> The acquisition moves Mankind from contraception / consumer reproductive health into fertility-support medicines, but the two channels do not naturally overlap. One is retail, brand and mass distribution. The other is specialist prescription, medical engagement and IVF clinic conversion. Mankind’s own FY26 presentation still frames BSV integration around field-force alignment, portfolio </w:t>
      </w:r>
      <w:proofErr w:type="spellStart"/>
      <w:r w:rsidRPr="00CC1A3C">
        <w:rPr>
          <w:rFonts w:ascii="Times New Roman" w:eastAsia="Times New Roman" w:hAnsi="Times New Roman" w:cs="Times New Roman"/>
          <w:kern w:val="0"/>
          <w14:ligatures w14:val="none"/>
        </w:rPr>
        <w:t>optimisation</w:t>
      </w:r>
      <w:proofErr w:type="spellEnd"/>
      <w:r w:rsidRPr="00CC1A3C">
        <w:rPr>
          <w:rFonts w:ascii="Times New Roman" w:eastAsia="Times New Roman" w:hAnsi="Times New Roman" w:cs="Times New Roman"/>
          <w:kern w:val="0"/>
          <w14:ligatures w14:val="none"/>
        </w:rPr>
        <w:t xml:space="preserve"> and MR productivity, which tells us the synergy is operational work, not an automatic cross-sell. BSV is a good asset, but Mankind has not yet proved that it can convert consumer reproductive strength into specialist fertility-drug leadership. That is why we remain cautious and underperform Mankind. </w:t>
      </w:r>
    </w:p>
    <w:p w:rsidR="00CC1A3C" w:rsidRDefault="00CC1A3C"/>
    <w:sectPr w:rsidR="00CC1A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A3C"/>
    <w:rsid w:val="007B788F"/>
    <w:rsid w:val="0098646A"/>
    <w:rsid w:val="00CC1A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34E19CF"/>
  <w15:chartTrackingRefBased/>
  <w15:docId w15:val="{E9A80362-2D43-E748-86A8-C962E4922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CC1A3C"/>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CC1A3C"/>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C1A3C"/>
    <w:rPr>
      <w:b/>
      <w:bCs/>
    </w:rPr>
  </w:style>
  <w:style w:type="paragraph" w:styleId="NormalWeb">
    <w:name w:val="Normal (Web)"/>
    <w:basedOn w:val="Normal"/>
    <w:uiPriority w:val="99"/>
    <w:semiHidden/>
    <w:unhideWhenUsed/>
    <w:rsid w:val="00CC1A3C"/>
    <w:pPr>
      <w:spacing w:before="100" w:beforeAutospacing="1" w:after="100" w:afterAutospacing="1"/>
    </w:pPr>
    <w:rPr>
      <w:rFonts w:ascii="Times New Roman" w:eastAsia="Times New Roman" w:hAnsi="Times New Roman" w:cs="Times New Roman"/>
      <w:kern w:val="0"/>
      <w14:ligatures w14:val="none"/>
    </w:rPr>
  </w:style>
  <w:style w:type="character" w:customStyle="1" w:styleId="Heading2Char">
    <w:name w:val="Heading 2 Char"/>
    <w:basedOn w:val="DefaultParagraphFont"/>
    <w:link w:val="Heading2"/>
    <w:uiPriority w:val="9"/>
    <w:rsid w:val="00CC1A3C"/>
    <w:rPr>
      <w:rFonts w:ascii="Times New Roman" w:eastAsia="Times New Roman" w:hAnsi="Times New Roman" w:cs="Times New Roman"/>
      <w:b/>
      <w:bCs/>
      <w:kern w:val="0"/>
      <w:sz w:val="36"/>
      <w:szCs w:val="3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958287">
      <w:bodyDiv w:val="1"/>
      <w:marLeft w:val="0"/>
      <w:marRight w:val="0"/>
      <w:marTop w:val="0"/>
      <w:marBottom w:val="0"/>
      <w:divBdr>
        <w:top w:val="none" w:sz="0" w:space="0" w:color="auto"/>
        <w:left w:val="none" w:sz="0" w:space="0" w:color="auto"/>
        <w:bottom w:val="none" w:sz="0" w:space="0" w:color="auto"/>
        <w:right w:val="none" w:sz="0" w:space="0" w:color="auto"/>
      </w:divBdr>
      <w:divsChild>
        <w:div w:id="1068726657">
          <w:marLeft w:val="0"/>
          <w:marRight w:val="0"/>
          <w:marTop w:val="0"/>
          <w:marBottom w:val="0"/>
          <w:divBdr>
            <w:top w:val="none" w:sz="0" w:space="0" w:color="auto"/>
            <w:left w:val="none" w:sz="0" w:space="0" w:color="auto"/>
            <w:bottom w:val="none" w:sz="0" w:space="0" w:color="auto"/>
            <w:right w:val="none" w:sz="0" w:space="0" w:color="auto"/>
          </w:divBdr>
          <w:divsChild>
            <w:div w:id="82342781">
              <w:marLeft w:val="0"/>
              <w:marRight w:val="0"/>
              <w:marTop w:val="0"/>
              <w:marBottom w:val="0"/>
              <w:divBdr>
                <w:top w:val="none" w:sz="0" w:space="0" w:color="auto"/>
                <w:left w:val="none" w:sz="0" w:space="0" w:color="auto"/>
                <w:bottom w:val="none" w:sz="0" w:space="0" w:color="auto"/>
                <w:right w:val="none" w:sz="0" w:space="0" w:color="auto"/>
              </w:divBdr>
              <w:divsChild>
                <w:div w:id="1780026626">
                  <w:marLeft w:val="0"/>
                  <w:marRight w:val="0"/>
                  <w:marTop w:val="0"/>
                  <w:marBottom w:val="0"/>
                  <w:divBdr>
                    <w:top w:val="none" w:sz="0" w:space="0" w:color="auto"/>
                    <w:left w:val="none" w:sz="0" w:space="0" w:color="auto"/>
                    <w:bottom w:val="none" w:sz="0" w:space="0" w:color="auto"/>
                    <w:right w:val="none" w:sz="0" w:space="0" w:color="auto"/>
                  </w:divBdr>
                  <w:divsChild>
                    <w:div w:id="2130658798">
                      <w:marLeft w:val="0"/>
                      <w:marRight w:val="0"/>
                      <w:marTop w:val="0"/>
                      <w:marBottom w:val="0"/>
                      <w:divBdr>
                        <w:top w:val="none" w:sz="0" w:space="0" w:color="auto"/>
                        <w:left w:val="none" w:sz="0" w:space="0" w:color="auto"/>
                        <w:bottom w:val="none" w:sz="0" w:space="0" w:color="auto"/>
                        <w:right w:val="none" w:sz="0" w:space="0" w:color="auto"/>
                      </w:divBdr>
                      <w:divsChild>
                        <w:div w:id="1912425127">
                          <w:marLeft w:val="0"/>
                          <w:marRight w:val="0"/>
                          <w:marTop w:val="0"/>
                          <w:marBottom w:val="0"/>
                          <w:divBdr>
                            <w:top w:val="none" w:sz="0" w:space="0" w:color="auto"/>
                            <w:left w:val="none" w:sz="0" w:space="0" w:color="auto"/>
                            <w:bottom w:val="none" w:sz="0" w:space="0" w:color="auto"/>
                            <w:right w:val="none" w:sz="0" w:space="0" w:color="auto"/>
                          </w:divBdr>
                          <w:divsChild>
                            <w:div w:id="1622301368">
                              <w:marLeft w:val="0"/>
                              <w:marRight w:val="0"/>
                              <w:marTop w:val="0"/>
                              <w:marBottom w:val="0"/>
                              <w:divBdr>
                                <w:top w:val="none" w:sz="0" w:space="0" w:color="auto"/>
                                <w:left w:val="none" w:sz="0" w:space="0" w:color="auto"/>
                                <w:bottom w:val="none" w:sz="0" w:space="0" w:color="auto"/>
                                <w:right w:val="none" w:sz="0" w:space="0" w:color="auto"/>
                              </w:divBdr>
                              <w:divsChild>
                                <w:div w:id="2093315566">
                                  <w:marLeft w:val="0"/>
                                  <w:marRight w:val="0"/>
                                  <w:marTop w:val="0"/>
                                  <w:marBottom w:val="0"/>
                                  <w:divBdr>
                                    <w:top w:val="none" w:sz="0" w:space="0" w:color="auto"/>
                                    <w:left w:val="none" w:sz="0" w:space="0" w:color="auto"/>
                                    <w:bottom w:val="none" w:sz="0" w:space="0" w:color="auto"/>
                                    <w:right w:val="none" w:sz="0" w:space="0" w:color="auto"/>
                                  </w:divBdr>
                                  <w:divsChild>
                                    <w:div w:id="99780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3004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979</Words>
  <Characters>5583</Characters>
  <Application>Microsoft Office Word</Application>
  <DocSecurity>0</DocSecurity>
  <Lines>46</Lines>
  <Paragraphs>13</Paragraphs>
  <ScaleCrop>false</ScaleCrop>
  <Company/>
  <LinksUpToDate>false</LinksUpToDate>
  <CharactersWithSpaces>6549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Shirsh Sawarna</dc:creator>
  <cp:keywords/>
  <dc:description/>
  <cp:lastModifiedBy>Shirsh Sawarna</cp:lastModifiedBy>
  <cp:revision>1</cp:revision>
  <dcterms:created xsi:type="dcterms:W3CDTF">2026-07-10T09:40:00Z</dcterms:created>
  <dcterms:modified xsi:type="dcterms:W3CDTF">2026-07-10T09:41:00Z</dcterms:modified>
</cp:coreProperties>
</file>